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273050</wp:posOffset>
            </wp:positionH>
            <wp:positionV relativeFrom="page">
              <wp:posOffset>413385</wp:posOffset>
            </wp:positionV>
            <wp:extent cx="7002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2780" cy="8255"/>
                    </a:xfrm>
                    <a:prstGeom prst="rect">
                      <a:avLst/>
                    </a:prstGeom>
                    <a:noFill/>
                  </pic:spPr>
                </pic:pic>
              </a:graphicData>
            </a:graphic>
          </wp:anchor>
        </w:drawing>
        <w:drawing>
          <wp:anchor simplePos="0" relativeHeight="251657728" behindDoc="1" locked="0" layoutInCell="0" allowOverlap="1">
            <wp:simplePos x="0" y="0"/>
            <wp:positionH relativeFrom="page">
              <wp:posOffset>273050</wp:posOffset>
            </wp:positionH>
            <wp:positionV relativeFrom="page">
              <wp:posOffset>380365</wp:posOffset>
            </wp:positionV>
            <wp:extent cx="7002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2780" cy="8255"/>
                    </a:xfrm>
                    <a:prstGeom prst="rect">
                      <a:avLst/>
                    </a:prstGeom>
                    <a:noFill/>
                  </pic:spPr>
                </pic:pic>
              </a:graphicData>
            </a:graphic>
          </wp:anchor>
        </w:drawing>
        <w:t>UNITED STATES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70" w:lineRule="exact"/>
        <w:rPr>
          <w:sz w:val="24"/>
          <w:szCs w:val="24"/>
          <w:color w:val="auto"/>
        </w:rPr>
      </w:pPr>
    </w:p>
    <w:p>
      <w:pPr>
        <w:ind w:left="1080"/>
        <w:spacing w:after="0"/>
        <w:rPr>
          <w:sz w:val="20"/>
          <w:szCs w:val="20"/>
          <w:color w:val="auto"/>
        </w:rPr>
      </w:pPr>
      <w:r>
        <w:rPr>
          <w:rFonts w:ascii="Arial" w:cs="Arial" w:eastAsia="Arial" w:hAnsi="Arial"/>
          <w:sz w:val="14"/>
          <w:szCs w:val="14"/>
          <w:color w:val="auto"/>
        </w:rPr>
        <w:t>(Mark One)</w:t>
      </w:r>
    </w:p>
    <w:p>
      <w:pPr>
        <w:ind w:left="1940" w:hanging="624"/>
        <w:spacing w:after="0" w:line="188" w:lineRule="auto"/>
        <w:tabs>
          <w:tab w:leader="none" w:pos="194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fiscal year ended June 30, 2022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31" w:lineRule="exact"/>
        <w:rPr>
          <w:sz w:val="24"/>
          <w:szCs w:val="24"/>
          <w:color w:val="auto"/>
        </w:rPr>
      </w:pPr>
    </w:p>
    <w:p>
      <w:pPr>
        <w:ind w:left="1940" w:hanging="624"/>
        <w:spacing w:after="0"/>
        <w:tabs>
          <w:tab w:leader="none" w:pos="194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5" w:lineRule="exact"/>
        <w:rPr>
          <w:sz w:val="24"/>
          <w:szCs w:val="24"/>
          <w:color w:val="auto"/>
        </w:rPr>
      </w:pPr>
    </w:p>
    <w:p>
      <w:pPr>
        <w:ind w:left="3600"/>
        <w:spacing w:after="0"/>
        <w:tabs>
          <w:tab w:leader="none" w:pos="658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No. 001-15461</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MATRIX SERVICE COMPANY</w:t>
      </w:r>
    </w:p>
    <w:p>
      <w:pPr>
        <w:sectPr>
          <w:pgSz w:w="11900" w:h="16838" w:orient="portrait"/>
          <w:cols w:equalWidth="0" w:num="1">
            <w:col w:w="11240"/>
          </w:cols>
          <w:pgMar w:left="320" w:top="711"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3"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Delaware</w:t>
      </w:r>
    </w:p>
    <w:p>
      <w:pPr>
        <w:spacing w:after="0" w:line="22"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(State or other jurisdiction of</w:t>
      </w:r>
    </w:p>
    <w:p>
      <w:pPr>
        <w:ind w:left="2160"/>
        <w:spacing w:after="0"/>
        <w:rPr>
          <w:sz w:val="20"/>
          <w:szCs w:val="20"/>
          <w:color w:val="auto"/>
        </w:rPr>
      </w:pPr>
      <w:r>
        <w:rPr>
          <w:rFonts w:ascii="Arial" w:cs="Arial" w:eastAsia="Arial" w:hAnsi="Arial"/>
          <w:sz w:val="14"/>
          <w:szCs w:val="14"/>
          <w:b w:val="1"/>
          <w:bCs w:val="1"/>
          <w:color w:val="auto"/>
        </w:rPr>
        <w:t>incorporation or organization)</w:t>
      </w:r>
    </w:p>
    <w:p>
      <w:pPr>
        <w:spacing w:after="0" w:line="112"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5100 E. Skelly Drive, Suite 500</w:t>
      </w:r>
    </w:p>
    <w:p>
      <w:pPr>
        <w:spacing w:after="0" w:line="36"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Tulsa, Oklahoma</w:t>
      </w:r>
    </w:p>
    <w:p>
      <w:pPr>
        <w:spacing w:after="0" w:line="49"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73-1352174</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5"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74135</w:t>
      </w:r>
    </w:p>
    <w:p>
      <w:pPr>
        <w:spacing w:after="0" w:line="154" w:lineRule="exact"/>
        <w:rPr>
          <w:sz w:val="24"/>
          <w:szCs w:val="24"/>
          <w:color w:val="auto"/>
        </w:rPr>
      </w:pPr>
    </w:p>
    <w:p>
      <w:pPr>
        <w:ind w:left="220"/>
        <w:spacing w:after="0"/>
        <w:rPr>
          <w:sz w:val="20"/>
          <w:szCs w:val="20"/>
          <w:color w:val="auto"/>
        </w:rPr>
      </w:pPr>
      <w:r>
        <w:rPr>
          <w:rFonts w:ascii="Arial" w:cs="Arial" w:eastAsia="Arial" w:hAnsi="Arial"/>
          <w:sz w:val="14"/>
          <w:szCs w:val="14"/>
          <w:b w:val="1"/>
          <w:bCs w:val="1"/>
          <w:color w:val="auto"/>
        </w:rPr>
        <w:t>(Zip Code)</w:t>
      </w:r>
    </w:p>
    <w:p>
      <w:pPr>
        <w:spacing w:after="0" w:line="132" w:lineRule="exact"/>
        <w:rPr>
          <w:sz w:val="24"/>
          <w:szCs w:val="24"/>
          <w:color w:val="auto"/>
        </w:rPr>
      </w:pPr>
    </w:p>
    <w:p>
      <w:pPr>
        <w:sectPr>
          <w:pgSz w:w="11900" w:h="16838" w:orient="portrait"/>
          <w:cols w:equalWidth="0" w:num="2">
            <w:col w:w="7160" w:space="500"/>
            <w:col w:w="3580"/>
          </w:cols>
          <w:pgMar w:left="320" w:top="711"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(918) 838-8822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0"/>
              </w:rPr>
              <w:t>Title of each class</w:t>
            </w:r>
          </w:p>
        </w:tc>
        <w:tc>
          <w:tcPr>
            <w:tcW w:w="16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3"/>
              </w:rPr>
              <w:t>Trading Symbol(s)</w:t>
            </w:r>
          </w:p>
        </w:tc>
        <w:tc>
          <w:tcPr>
            <w:tcW w:w="340" w:type="dxa"/>
            <w:vAlign w:val="bottom"/>
          </w:tcPr>
          <w:p>
            <w:pPr>
              <w:spacing w:after="0"/>
              <w:rPr>
                <w:sz w:val="16"/>
                <w:szCs w:val="16"/>
                <w:color w:val="auto"/>
              </w:rPr>
            </w:pPr>
          </w:p>
        </w:tc>
        <w:tc>
          <w:tcPr>
            <w:tcW w:w="3580" w:type="dxa"/>
            <w:vAlign w:val="bottom"/>
            <w:gridSpan w:val="4"/>
          </w:tcPr>
          <w:p>
            <w:pPr>
              <w:jc w:val="center"/>
              <w:ind w:left="253"/>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40" w:type="dxa"/>
            <w:vAlign w:val="bottom"/>
            <w:gridSpan w:val="3"/>
            <w:shd w:val="clear" w:color="auto" w:fill="000000"/>
          </w:tcPr>
          <w:p>
            <w:pPr>
              <w:spacing w:after="0" w:line="20" w:lineRule="exact"/>
              <w:rPr>
                <w:sz w:val="1"/>
                <w:szCs w:val="1"/>
                <w:color w:val="auto"/>
              </w:rPr>
            </w:pPr>
          </w:p>
        </w:tc>
      </w:tr>
      <w:tr>
        <w:trPr>
          <w:trHeight w:val="242"/>
        </w:trPr>
        <w:tc>
          <w:tcPr>
            <w:tcW w:w="4900" w:type="dxa"/>
            <w:vAlign w:val="bottom"/>
            <w:gridSpan w:val="3"/>
          </w:tcPr>
          <w:p>
            <w:pPr>
              <w:jc w:val="center"/>
              <w:ind w:left="233"/>
              <w:spacing w:after="0"/>
              <w:rPr>
                <w:sz w:val="20"/>
                <w:szCs w:val="20"/>
                <w:color w:val="auto"/>
              </w:rPr>
            </w:pPr>
            <w:r>
              <w:rPr>
                <w:rFonts w:ascii="Arial" w:cs="Arial" w:eastAsia="Arial" w:hAnsi="Arial"/>
                <w:sz w:val="17"/>
                <w:szCs w:val="17"/>
                <w:color w:val="auto"/>
                <w:w w:val="92"/>
              </w:rPr>
              <w:t>Common Stock, par value $0.01 per share</w:t>
            </w:r>
          </w:p>
        </w:tc>
        <w:tc>
          <w:tcPr>
            <w:tcW w:w="1780" w:type="dxa"/>
            <w:vAlign w:val="bottom"/>
            <w:gridSpan w:val="2"/>
          </w:tcPr>
          <w:p>
            <w:pPr>
              <w:jc w:val="center"/>
              <w:ind w:right="340"/>
              <w:spacing w:after="0"/>
              <w:rPr>
                <w:sz w:val="20"/>
                <w:szCs w:val="20"/>
                <w:color w:val="auto"/>
              </w:rPr>
            </w:pPr>
            <w:r>
              <w:rPr>
                <w:rFonts w:ascii="Arial" w:cs="Arial" w:eastAsia="Arial" w:hAnsi="Arial"/>
                <w:sz w:val="17"/>
                <w:szCs w:val="17"/>
                <w:color w:val="auto"/>
              </w:rPr>
              <w:t>MTRX</w:t>
            </w:r>
          </w:p>
        </w:tc>
        <w:tc>
          <w:tcPr>
            <w:tcW w:w="340" w:type="dxa"/>
            <w:vAlign w:val="bottom"/>
          </w:tcPr>
          <w:p>
            <w:pPr>
              <w:spacing w:after="0"/>
              <w:rPr>
                <w:sz w:val="21"/>
                <w:szCs w:val="21"/>
                <w:color w:val="auto"/>
              </w:rPr>
            </w:pPr>
          </w:p>
        </w:tc>
        <w:tc>
          <w:tcPr>
            <w:tcW w:w="3240" w:type="dxa"/>
            <w:vAlign w:val="bottom"/>
            <w:gridSpan w:val="3"/>
          </w:tcPr>
          <w:p>
            <w:pPr>
              <w:jc w:val="center"/>
              <w:spacing w:after="0"/>
              <w:rPr>
                <w:sz w:val="20"/>
                <w:szCs w:val="20"/>
                <w:color w:val="auto"/>
              </w:rPr>
            </w:pPr>
            <w:r>
              <w:rPr>
                <w:rFonts w:ascii="Arial" w:cs="Arial" w:eastAsia="Arial" w:hAnsi="Arial"/>
                <w:sz w:val="17"/>
                <w:szCs w:val="17"/>
                <w:color w:val="auto"/>
                <w:w w:val="97"/>
              </w:rPr>
              <w:t>NASDAQ Global Select Market</w:t>
            </w:r>
          </w:p>
        </w:tc>
      </w:tr>
      <w:tr>
        <w:trPr>
          <w:trHeight w:val="354"/>
        </w:trPr>
        <w:tc>
          <w:tcPr>
            <w:tcW w:w="1940" w:type="dxa"/>
            <w:vAlign w:val="bottom"/>
          </w:tcPr>
          <w:p>
            <w:pPr>
              <w:spacing w:after="0"/>
              <w:rPr>
                <w:sz w:val="24"/>
                <w:szCs w:val="24"/>
                <w:color w:val="auto"/>
              </w:rPr>
            </w:pPr>
          </w:p>
        </w:tc>
        <w:tc>
          <w:tcPr>
            <w:tcW w:w="6440" w:type="dxa"/>
            <w:vAlign w:val="bottom"/>
            <w:gridSpan w:val="6"/>
          </w:tcPr>
          <w:p>
            <w:pPr>
              <w:jc w:val="center"/>
              <w:ind w:left="833"/>
              <w:spacing w:after="0"/>
              <w:rPr>
                <w:sz w:val="20"/>
                <w:szCs w:val="20"/>
                <w:color w:val="auto"/>
              </w:rPr>
            </w:pPr>
            <w:r>
              <w:rPr>
                <w:rFonts w:ascii="Arial" w:cs="Arial" w:eastAsia="Arial" w:hAnsi="Arial"/>
                <w:sz w:val="17"/>
                <w:szCs w:val="17"/>
                <w:b w:val="1"/>
                <w:bCs w:val="1"/>
                <w:color w:val="auto"/>
                <w:w w:val="91"/>
              </w:rPr>
              <w:t>Securities Registered Pursuant to Section 12(g) of the Act: None</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2"/>
        </w:trPr>
        <w:tc>
          <w:tcPr>
            <w:tcW w:w="8380" w:type="dxa"/>
            <w:vAlign w:val="bottom"/>
            <w:gridSpan w:val="7"/>
          </w:tcPr>
          <w:p>
            <w:pPr>
              <w:spacing w:after="0"/>
              <w:rPr>
                <w:sz w:val="20"/>
                <w:szCs w:val="20"/>
                <w:color w:val="auto"/>
              </w:rPr>
            </w:pPr>
            <w:r>
              <w:rPr>
                <w:rFonts w:ascii="Arial" w:cs="Arial" w:eastAsia="Arial" w:hAnsi="Arial"/>
                <w:sz w:val="17"/>
                <w:szCs w:val="17"/>
                <w:color w:val="auto"/>
                <w:w w:val="95"/>
              </w:rPr>
              <w:t>Indicate by check mark if the registrant is a well-known seasoned issuer, as defined in Rule 405 of the Securities Act.</w:t>
            </w:r>
          </w:p>
        </w:tc>
        <w:tc>
          <w:tcPr>
            <w:tcW w:w="660" w:type="dxa"/>
            <w:vAlign w:val="bottom"/>
          </w:tcPr>
          <w:p>
            <w:pPr>
              <w:jc w:val="center"/>
              <w:ind w:right="73"/>
              <w:spacing w:after="0" w:line="196" w:lineRule="exact"/>
              <w:rPr>
                <w:sz w:val="20"/>
                <w:szCs w:val="20"/>
                <w:color w:val="auto"/>
              </w:rPr>
            </w:pPr>
            <w:r>
              <w:rPr>
                <w:rFonts w:ascii="Arial" w:cs="Arial" w:eastAsia="Arial" w:hAnsi="Arial"/>
                <w:sz w:val="17"/>
                <w:szCs w:val="17"/>
                <w:color w:val="auto"/>
                <w:w w:val="97"/>
              </w:rPr>
              <w:t xml:space="preserve">Yes </w:t>
            </w:r>
            <w:r>
              <w:rPr>
                <w:rFonts w:ascii="MS PGothic" w:cs="MS PGothic" w:eastAsia="MS PGothic" w:hAnsi="MS PGothic"/>
                <w:sz w:val="17"/>
                <w:szCs w:val="17"/>
                <w:color w:val="auto"/>
                <w:w w:val="97"/>
              </w:rPr>
              <w:t>☐</w:t>
            </w:r>
          </w:p>
        </w:tc>
        <w:tc>
          <w:tcPr>
            <w:tcW w:w="1220" w:type="dxa"/>
            <w:vAlign w:val="bottom"/>
          </w:tcPr>
          <w:p>
            <w:pPr>
              <w:ind w:left="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302"/>
        </w:trPr>
        <w:tc>
          <w:tcPr>
            <w:tcW w:w="8380" w:type="dxa"/>
            <w:vAlign w:val="bottom"/>
            <w:gridSpan w:val="7"/>
          </w:tcPr>
          <w:p>
            <w:pPr>
              <w:spacing w:after="0"/>
              <w:rPr>
                <w:sz w:val="20"/>
                <w:szCs w:val="20"/>
                <w:color w:val="auto"/>
              </w:rPr>
            </w:pPr>
            <w:r>
              <w:rPr>
                <w:rFonts w:ascii="Arial" w:cs="Arial" w:eastAsia="Arial" w:hAnsi="Arial"/>
                <w:sz w:val="17"/>
                <w:szCs w:val="17"/>
                <w:color w:val="auto"/>
                <w:w w:val="94"/>
              </w:rPr>
              <w:t>Indicate by check mark if the registrant is not required to file reports pursuant to Section 13 or Section 15(d) of the Act.</w:t>
            </w:r>
          </w:p>
        </w:tc>
        <w:tc>
          <w:tcPr>
            <w:tcW w:w="660" w:type="dxa"/>
            <w:vAlign w:val="bottom"/>
          </w:tcPr>
          <w:p>
            <w:pPr>
              <w:ind w:left="160"/>
              <w:spacing w:after="0" w:line="196" w:lineRule="exact"/>
              <w:rPr>
                <w:sz w:val="20"/>
                <w:szCs w:val="20"/>
                <w:color w:val="auto"/>
              </w:rPr>
            </w:pPr>
            <w:r>
              <w:rPr>
                <w:rFonts w:ascii="Arial" w:cs="Arial" w:eastAsia="Arial" w:hAnsi="Arial"/>
                <w:sz w:val="17"/>
                <w:szCs w:val="17"/>
                <w:color w:val="auto"/>
                <w:w w:val="93"/>
              </w:rPr>
              <w:t xml:space="preserve">Yes </w:t>
            </w:r>
            <w:r>
              <w:rPr>
                <w:rFonts w:ascii="MS PGothic" w:cs="MS PGothic" w:eastAsia="MS PGothic" w:hAnsi="MS PGothic"/>
                <w:sz w:val="17"/>
                <w:szCs w:val="17"/>
                <w:color w:val="auto"/>
                <w:w w:val="93"/>
              </w:rPr>
              <w:t>☐</w:t>
            </w:r>
          </w:p>
        </w:tc>
        <w:tc>
          <w:tcPr>
            <w:tcW w:w="122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bl>
    <w:p>
      <w:pPr>
        <w:spacing w:after="0" w:line="47" w:lineRule="exact"/>
        <w:rPr>
          <w:sz w:val="24"/>
          <w:szCs w:val="24"/>
          <w:color w:val="auto"/>
        </w:rPr>
      </w:pPr>
    </w:p>
    <w:p>
      <w:pPr>
        <w:jc w:val="both"/>
        <w:ind w:right="8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ind w:right="680"/>
        <w:spacing w:after="0" w:line="22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60"/>
        <w:spacing w:after="0" w:line="27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 w:lineRule="exact"/>
        <w:rPr>
          <w:sz w:val="24"/>
          <w:szCs w:val="24"/>
          <w:color w:val="auto"/>
        </w:rPr>
      </w:pPr>
    </w:p>
    <w:p>
      <w:pPr>
        <w:ind w:left="400" w:right="2180"/>
        <w:spacing w:after="0" w:line="242"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60" w:lineRule="exact"/>
        <w:rPr>
          <w:sz w:val="24"/>
          <w:szCs w:val="24"/>
          <w:color w:val="auto"/>
        </w:rPr>
      </w:pPr>
    </w:p>
    <w:p>
      <w:pPr>
        <w:ind w:right="30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0" w:lineRule="exact"/>
        <w:rPr>
          <w:sz w:val="24"/>
          <w:szCs w:val="24"/>
          <w:color w:val="auto"/>
        </w:rPr>
      </w:pPr>
    </w:p>
    <w:p>
      <w:pPr>
        <w:ind w:right="20"/>
        <w:spacing w:after="0" w:line="220"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6" w:lineRule="exact"/>
        <w:rPr>
          <w:sz w:val="24"/>
          <w:szCs w:val="24"/>
          <w:color w:val="auto"/>
        </w:rPr>
      </w:pPr>
    </w:p>
    <w:p>
      <w:pPr>
        <w:spacing w:after="0" w:line="196" w:lineRule="exact"/>
        <w:tabs>
          <w:tab w:leader="none" w:pos="8100" w:val="left"/>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39" w:lineRule="exact"/>
        <w:rPr>
          <w:sz w:val="24"/>
          <w:szCs w:val="24"/>
          <w:color w:val="auto"/>
        </w:rPr>
      </w:pPr>
    </w:p>
    <w:p>
      <w:pPr>
        <w:ind w:right="40"/>
        <w:spacing w:after="0" w:line="289" w:lineRule="auto"/>
        <w:rPr>
          <w:sz w:val="20"/>
          <w:szCs w:val="20"/>
          <w:color w:val="auto"/>
        </w:rPr>
      </w:pPr>
      <w:r>
        <w:rPr>
          <w:rFonts w:ascii="Arial" w:cs="Arial" w:eastAsia="Arial" w:hAnsi="Arial"/>
          <w:sz w:val="17"/>
          <w:szCs w:val="17"/>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$195 million.</w:t>
      </w:r>
    </w:p>
    <w:p>
      <w:pPr>
        <w:spacing w:after="0" w:line="41"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the registrant’s common stock outstanding as of October 7, 2022 was 26,972,621 shares.</w:t>
      </w:r>
    </w:p>
    <w:p>
      <w:pPr>
        <w:spacing w:after="0" w:line="87" w:lineRule="exact"/>
        <w:rPr>
          <w:sz w:val="24"/>
          <w:szCs w:val="24"/>
          <w:color w:val="auto"/>
        </w:rPr>
      </w:pPr>
    </w:p>
    <w:p>
      <w:pPr>
        <w:ind w:left="418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12"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Certain sections of the registrant's definitive proxy statement relating to the registrant's 2022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40" w:type="dxa"/>
            <w:vAlign w:val="bottom"/>
            <w:gridSpan w:val="7"/>
          </w:tcPr>
          <w:p>
            <w:pPr>
              <w:jc w:val="center"/>
              <w:ind w:right="3480"/>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6"/>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gridSpan w:val="5"/>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20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4840" w:type="dxa"/>
            <w:vAlign w:val="bottom"/>
            <w:gridSpan w:val="5"/>
            <w:vMerge w:val="restart"/>
          </w:tcPr>
          <w:p>
            <w:pPr>
              <w:jc w:val="center"/>
              <w:ind w:right="4280"/>
              <w:spacing w:after="0"/>
              <w:rPr>
                <w:sz w:val="20"/>
                <w:szCs w:val="20"/>
                <w:color w:val="auto"/>
              </w:rPr>
            </w:pPr>
            <w:r>
              <w:rPr>
                <w:rFonts w:ascii="Arial" w:cs="Arial" w:eastAsia="Arial" w:hAnsi="Arial"/>
                <w:sz w:val="17"/>
                <w:szCs w:val="17"/>
                <w:b w:val="1"/>
                <w:bCs w:val="1"/>
                <w:color w:val="auto"/>
              </w:rPr>
              <w:t>Part I</w:t>
            </w: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4840" w:type="dxa"/>
            <w:vAlign w:val="bottom"/>
            <w:gridSpan w:val="5"/>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00" w:type="dxa"/>
            <w:vAlign w:val="bottom"/>
          </w:tcPr>
          <w:p>
            <w:pPr>
              <w:ind w:left="20"/>
              <w:spacing w:after="0"/>
              <w:rPr>
                <w:sz w:val="20"/>
                <w:szCs w:val="20"/>
                <w:color w:val="auto"/>
              </w:rPr>
            </w:pPr>
            <w:r>
              <w:rPr>
                <w:rFonts w:ascii="Arial" w:cs="Arial" w:eastAsia="Arial" w:hAnsi="Arial"/>
                <w:sz w:val="17"/>
                <w:szCs w:val="17"/>
                <w:color w:val="auto"/>
              </w:rPr>
              <w:t>Item 1.</w:t>
            </w:r>
          </w:p>
        </w:tc>
        <w:tc>
          <w:tcPr>
            <w:tcW w:w="9080" w:type="dxa"/>
            <w:vAlign w:val="bottom"/>
            <w:gridSpan w:val="18"/>
          </w:tcPr>
          <w:p>
            <w:pPr>
              <w:spacing w:after="0"/>
              <w:rPr>
                <w:sz w:val="20"/>
                <w:szCs w:val="20"/>
                <w:color w:val="auto"/>
              </w:rPr>
            </w:pPr>
            <w:r>
              <w:rPr>
                <w:rFonts w:ascii="Arial" w:cs="Arial" w:eastAsia="Arial" w:hAnsi="Arial"/>
                <w:sz w:val="17"/>
                <w:szCs w:val="17"/>
                <w:color w:val="0000FF"/>
              </w:rPr>
              <w:t>Business</w:t>
            </w: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1A.</w:t>
            </w:r>
          </w:p>
        </w:tc>
        <w:tc>
          <w:tcPr>
            <w:tcW w:w="9080" w:type="dxa"/>
            <w:vAlign w:val="bottom"/>
            <w:gridSpan w:val="18"/>
          </w:tcPr>
          <w:p>
            <w:pPr>
              <w:spacing w:after="0"/>
              <w:rPr>
                <w:sz w:val="20"/>
                <w:szCs w:val="20"/>
                <w:color w:val="auto"/>
              </w:rPr>
            </w:pPr>
            <w:r>
              <w:rPr>
                <w:rFonts w:ascii="Arial" w:cs="Arial" w:eastAsia="Arial" w:hAnsi="Arial"/>
                <w:sz w:val="17"/>
                <w:szCs w:val="17"/>
                <w:color w:val="0000FF"/>
              </w:rPr>
              <w:t>Risk Factors</w:t>
            </w: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1B.</w:t>
            </w:r>
          </w:p>
        </w:tc>
        <w:tc>
          <w:tcPr>
            <w:tcW w:w="9080" w:type="dxa"/>
            <w:vAlign w:val="bottom"/>
            <w:gridSpan w:val="18"/>
          </w:tcPr>
          <w:p>
            <w:pPr>
              <w:spacing w:after="0"/>
              <w:rPr>
                <w:sz w:val="20"/>
                <w:szCs w:val="20"/>
                <w:color w:val="auto"/>
              </w:rPr>
            </w:pPr>
            <w:r>
              <w:rPr>
                <w:rFonts w:ascii="Arial" w:cs="Arial" w:eastAsia="Arial" w:hAnsi="Arial"/>
                <w:sz w:val="17"/>
                <w:szCs w:val="17"/>
                <w:color w:val="0000FF"/>
              </w:rPr>
              <w:t>Unresolved Staff Comments</w:t>
            </w: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2.</w:t>
            </w:r>
          </w:p>
        </w:tc>
        <w:tc>
          <w:tcPr>
            <w:tcW w:w="660" w:type="dxa"/>
            <w:vAlign w:val="bottom"/>
            <w:gridSpan w:val="2"/>
          </w:tcPr>
          <w:p>
            <w:pPr>
              <w:spacing w:after="0"/>
              <w:rPr>
                <w:sz w:val="20"/>
                <w:szCs w:val="20"/>
                <w:color w:val="auto"/>
              </w:rPr>
            </w:pPr>
            <w:r>
              <w:rPr>
                <w:rFonts w:ascii="Arial" w:cs="Arial" w:eastAsia="Arial" w:hAnsi="Arial"/>
                <w:sz w:val="17"/>
                <w:szCs w:val="17"/>
                <w:color w:val="0000FF"/>
                <w:w w:val="79"/>
              </w:rPr>
              <w:t>Properties</w:t>
            </w:r>
          </w:p>
        </w:tc>
        <w:tc>
          <w:tcPr>
            <w:tcW w:w="1320" w:type="dxa"/>
            <w:vAlign w:val="bottom"/>
            <w:gridSpan w:val="6"/>
          </w:tcPr>
          <w:p>
            <w:pPr>
              <w:spacing w:after="0"/>
              <w:rPr>
                <w:sz w:val="22"/>
                <w:szCs w:val="22"/>
                <w:color w:val="auto"/>
              </w:rPr>
            </w:pPr>
          </w:p>
        </w:tc>
        <w:tc>
          <w:tcPr>
            <w:tcW w:w="7100" w:type="dxa"/>
            <w:vAlign w:val="bottom"/>
            <w:gridSpan w:val="10"/>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3.</w:t>
            </w:r>
          </w:p>
        </w:tc>
        <w:tc>
          <w:tcPr>
            <w:tcW w:w="1300" w:type="dxa"/>
            <w:vAlign w:val="bottom"/>
            <w:gridSpan w:val="4"/>
          </w:tcPr>
          <w:p>
            <w:pPr>
              <w:spacing w:after="0"/>
              <w:rPr>
                <w:sz w:val="20"/>
                <w:szCs w:val="20"/>
                <w:color w:val="auto"/>
              </w:rPr>
            </w:pPr>
            <w:r>
              <w:rPr>
                <w:rFonts w:ascii="Arial" w:cs="Arial" w:eastAsia="Arial" w:hAnsi="Arial"/>
                <w:sz w:val="17"/>
                <w:szCs w:val="17"/>
                <w:color w:val="0000FF"/>
                <w:w w:val="89"/>
              </w:rPr>
              <w:t>Legal Proceedings</w:t>
            </w:r>
          </w:p>
        </w:tc>
        <w:tc>
          <w:tcPr>
            <w:tcW w:w="7780" w:type="dxa"/>
            <w:vAlign w:val="bottom"/>
            <w:gridSpan w:val="14"/>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4.</w:t>
            </w:r>
          </w:p>
        </w:tc>
        <w:tc>
          <w:tcPr>
            <w:tcW w:w="9080" w:type="dxa"/>
            <w:vAlign w:val="bottom"/>
            <w:gridSpan w:val="18"/>
          </w:tcPr>
          <w:p>
            <w:pPr>
              <w:spacing w:after="0"/>
              <w:rPr>
                <w:sz w:val="20"/>
                <w:szCs w:val="20"/>
                <w:color w:val="auto"/>
              </w:rPr>
            </w:pPr>
            <w:r>
              <w:rPr>
                <w:rFonts w:ascii="Arial" w:cs="Arial" w:eastAsia="Arial" w:hAnsi="Arial"/>
                <w:sz w:val="17"/>
                <w:szCs w:val="17"/>
                <w:color w:val="0000FF"/>
              </w:rPr>
              <w:t>Mine Safety Disclosures</w:t>
            </w: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5"/>
          </w:tcPr>
          <w:p>
            <w:pPr>
              <w:jc w:val="center"/>
              <w:ind w:right="4260"/>
              <w:spacing w:after="0"/>
              <w:rPr>
                <w:sz w:val="20"/>
                <w:szCs w:val="20"/>
                <w:color w:val="auto"/>
              </w:rPr>
            </w:pPr>
            <w:r>
              <w:rPr>
                <w:rFonts w:ascii="Arial" w:cs="Arial" w:eastAsia="Arial" w:hAnsi="Arial"/>
                <w:sz w:val="17"/>
                <w:szCs w:val="17"/>
                <w:b w:val="1"/>
                <w:bCs w:val="1"/>
                <w:color w:val="auto"/>
              </w:rPr>
              <w:t>Part II</w:t>
            </w: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0" w:type="dxa"/>
            <w:vAlign w:val="bottom"/>
          </w:tcPr>
          <w:p>
            <w:pPr>
              <w:ind w:left="20"/>
              <w:spacing w:after="0"/>
              <w:rPr>
                <w:sz w:val="20"/>
                <w:szCs w:val="20"/>
                <w:color w:val="auto"/>
              </w:rPr>
            </w:pPr>
            <w:r>
              <w:rPr>
                <w:rFonts w:ascii="Arial" w:cs="Arial" w:eastAsia="Arial" w:hAnsi="Arial"/>
                <w:sz w:val="17"/>
                <w:szCs w:val="17"/>
                <w:color w:val="auto"/>
              </w:rPr>
              <w:t>Item 5.</w:t>
            </w:r>
          </w:p>
        </w:tc>
        <w:tc>
          <w:tcPr>
            <w:tcW w:w="9080" w:type="dxa"/>
            <w:vAlign w:val="bottom"/>
            <w:gridSpan w:val="18"/>
          </w:tcPr>
          <w:p>
            <w:pPr>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6.</w:t>
            </w:r>
          </w:p>
        </w:tc>
        <w:tc>
          <w:tcPr>
            <w:tcW w:w="660" w:type="dxa"/>
            <w:vAlign w:val="bottom"/>
            <w:gridSpan w:val="2"/>
          </w:tcPr>
          <w:p>
            <w:pPr>
              <w:spacing w:after="0"/>
              <w:rPr>
                <w:sz w:val="20"/>
                <w:szCs w:val="20"/>
                <w:color w:val="auto"/>
              </w:rPr>
            </w:pPr>
            <w:r>
              <w:rPr>
                <w:rFonts w:ascii="Arial" w:cs="Arial" w:eastAsia="Arial" w:hAnsi="Arial"/>
                <w:sz w:val="17"/>
                <w:szCs w:val="17"/>
                <w:color w:val="0000FF"/>
                <w:w w:val="85"/>
              </w:rPr>
              <w:t>Reserved</w:t>
            </w:r>
          </w:p>
        </w:tc>
        <w:tc>
          <w:tcPr>
            <w:tcW w:w="7180" w:type="dxa"/>
            <w:vAlign w:val="bottom"/>
            <w:gridSpan w:val="15"/>
          </w:tcPr>
          <w:p>
            <w:pPr>
              <w:spacing w:after="0"/>
              <w:rPr>
                <w:sz w:val="22"/>
                <w:szCs w:val="22"/>
                <w:color w:val="auto"/>
              </w:rPr>
            </w:pPr>
          </w:p>
        </w:tc>
        <w:tc>
          <w:tcPr>
            <w:tcW w:w="1240" w:type="dxa"/>
            <w:vAlign w:val="bottom"/>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7.</w:t>
            </w:r>
          </w:p>
        </w:tc>
        <w:tc>
          <w:tcPr>
            <w:tcW w:w="6280" w:type="dxa"/>
            <w:vAlign w:val="bottom"/>
            <w:gridSpan w:val="15"/>
          </w:tcPr>
          <w:p>
            <w:pPr>
              <w:spacing w:after="0"/>
              <w:rPr>
                <w:sz w:val="20"/>
                <w:szCs w:val="20"/>
                <w:color w:val="auto"/>
              </w:rPr>
            </w:pPr>
            <w:r>
              <w:rPr>
                <w:rFonts w:ascii="Arial" w:cs="Arial" w:eastAsia="Arial" w:hAnsi="Arial"/>
                <w:sz w:val="17"/>
                <w:szCs w:val="17"/>
                <w:color w:val="0000FF"/>
                <w:w w:val="93"/>
              </w:rPr>
              <w:t>Management’s Discussion and Analysis of Financial Condition and Results of Operations</w:t>
            </w:r>
          </w:p>
        </w:tc>
        <w:tc>
          <w:tcPr>
            <w:tcW w:w="2800" w:type="dxa"/>
            <w:vAlign w:val="bottom"/>
            <w:gridSpan w:val="3"/>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7A.</w:t>
            </w:r>
          </w:p>
        </w:tc>
        <w:tc>
          <w:tcPr>
            <w:tcW w:w="4240" w:type="dxa"/>
            <w:vAlign w:val="bottom"/>
            <w:gridSpan w:val="13"/>
          </w:tcPr>
          <w:p>
            <w:pPr>
              <w:spacing w:after="0"/>
              <w:rPr>
                <w:sz w:val="20"/>
                <w:szCs w:val="20"/>
                <w:color w:val="auto"/>
              </w:rPr>
            </w:pPr>
            <w:r>
              <w:rPr>
                <w:rFonts w:ascii="Arial" w:cs="Arial" w:eastAsia="Arial" w:hAnsi="Arial"/>
                <w:sz w:val="17"/>
                <w:szCs w:val="17"/>
                <w:color w:val="0000FF"/>
                <w:w w:val="94"/>
              </w:rPr>
              <w:t>Quantitative and Qualitative Disclosures About Market Risk</w:t>
            </w:r>
          </w:p>
        </w:tc>
        <w:tc>
          <w:tcPr>
            <w:tcW w:w="2040" w:type="dxa"/>
            <w:vAlign w:val="bottom"/>
            <w:gridSpan w:val="2"/>
          </w:tcPr>
          <w:p>
            <w:pPr>
              <w:spacing w:after="0"/>
              <w:rPr>
                <w:sz w:val="22"/>
                <w:szCs w:val="22"/>
                <w:color w:val="auto"/>
              </w:rPr>
            </w:pPr>
          </w:p>
        </w:tc>
        <w:tc>
          <w:tcPr>
            <w:tcW w:w="2800" w:type="dxa"/>
            <w:vAlign w:val="bottom"/>
            <w:gridSpan w:val="3"/>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8.</w:t>
            </w:r>
          </w:p>
        </w:tc>
        <w:tc>
          <w:tcPr>
            <w:tcW w:w="3240" w:type="dxa"/>
            <w:vAlign w:val="bottom"/>
            <w:gridSpan w:val="11"/>
          </w:tcPr>
          <w:p>
            <w:pPr>
              <w:spacing w:after="0"/>
              <w:rPr>
                <w:sz w:val="20"/>
                <w:szCs w:val="20"/>
                <w:color w:val="auto"/>
              </w:rPr>
            </w:pPr>
            <w:r>
              <w:rPr>
                <w:rFonts w:ascii="Arial" w:cs="Arial" w:eastAsia="Arial" w:hAnsi="Arial"/>
                <w:sz w:val="17"/>
                <w:szCs w:val="17"/>
                <w:color w:val="0000FF"/>
                <w:w w:val="91"/>
              </w:rPr>
              <w:t>Financial Statements and Supplementary Data</w:t>
            </w:r>
          </w:p>
        </w:tc>
        <w:tc>
          <w:tcPr>
            <w:tcW w:w="1000" w:type="dxa"/>
            <w:vAlign w:val="bottom"/>
            <w:gridSpan w:val="2"/>
          </w:tcPr>
          <w:p>
            <w:pPr>
              <w:spacing w:after="0"/>
              <w:rPr>
                <w:sz w:val="22"/>
                <w:szCs w:val="22"/>
                <w:color w:val="auto"/>
              </w:rPr>
            </w:pPr>
          </w:p>
        </w:tc>
        <w:tc>
          <w:tcPr>
            <w:tcW w:w="4840" w:type="dxa"/>
            <w:vAlign w:val="bottom"/>
            <w:gridSpan w:val="5"/>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9.</w:t>
            </w:r>
          </w:p>
        </w:tc>
        <w:tc>
          <w:tcPr>
            <w:tcW w:w="6280" w:type="dxa"/>
            <w:vAlign w:val="bottom"/>
            <w:gridSpan w:val="15"/>
          </w:tcPr>
          <w:p>
            <w:pPr>
              <w:spacing w:after="0"/>
              <w:rPr>
                <w:sz w:val="20"/>
                <w:szCs w:val="20"/>
                <w:color w:val="auto"/>
              </w:rPr>
            </w:pPr>
            <w:r>
              <w:rPr>
                <w:rFonts w:ascii="Arial" w:cs="Arial" w:eastAsia="Arial" w:hAnsi="Arial"/>
                <w:sz w:val="17"/>
                <w:szCs w:val="17"/>
                <w:color w:val="0000FF"/>
                <w:w w:val="92"/>
              </w:rPr>
              <w:t>Changes in and Disagreements with Accountants on Accounting and Financial Disclosure</w:t>
            </w:r>
          </w:p>
        </w:tc>
        <w:tc>
          <w:tcPr>
            <w:tcW w:w="2800" w:type="dxa"/>
            <w:vAlign w:val="bottom"/>
            <w:gridSpan w:val="3"/>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9A.</w:t>
            </w:r>
          </w:p>
        </w:tc>
        <w:tc>
          <w:tcPr>
            <w:tcW w:w="6280" w:type="dxa"/>
            <w:vAlign w:val="bottom"/>
            <w:gridSpan w:val="15"/>
          </w:tcPr>
          <w:p>
            <w:pPr>
              <w:spacing w:after="0"/>
              <w:rPr>
                <w:sz w:val="20"/>
                <w:szCs w:val="20"/>
                <w:color w:val="auto"/>
              </w:rPr>
            </w:pPr>
            <w:r>
              <w:rPr>
                <w:rFonts w:ascii="Arial" w:cs="Arial" w:eastAsia="Arial" w:hAnsi="Arial"/>
                <w:sz w:val="17"/>
                <w:szCs w:val="17"/>
                <w:color w:val="0000FF"/>
              </w:rPr>
              <w:t>Controls and Procedures</w:t>
            </w:r>
          </w:p>
        </w:tc>
        <w:tc>
          <w:tcPr>
            <w:tcW w:w="2800" w:type="dxa"/>
            <w:vAlign w:val="bottom"/>
            <w:gridSpan w:val="3"/>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0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9B.</w:t>
            </w:r>
          </w:p>
        </w:tc>
        <w:tc>
          <w:tcPr>
            <w:tcW w:w="1720" w:type="dxa"/>
            <w:vAlign w:val="bottom"/>
            <w:gridSpan w:val="6"/>
          </w:tcPr>
          <w:p>
            <w:pPr>
              <w:spacing w:after="0"/>
              <w:rPr>
                <w:sz w:val="20"/>
                <w:szCs w:val="20"/>
                <w:color w:val="auto"/>
              </w:rPr>
            </w:pPr>
            <w:r>
              <w:rPr>
                <w:rFonts w:ascii="Arial" w:cs="Arial" w:eastAsia="Arial" w:hAnsi="Arial"/>
                <w:sz w:val="17"/>
                <w:szCs w:val="17"/>
                <w:color w:val="0000FF"/>
              </w:rPr>
              <w:t>Other Information</w:t>
            </w:r>
          </w:p>
        </w:tc>
        <w:tc>
          <w:tcPr>
            <w:tcW w:w="7360" w:type="dxa"/>
            <w:vAlign w:val="bottom"/>
            <w:gridSpan w:val="12"/>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5"/>
          </w:tcPr>
          <w:p>
            <w:pPr>
              <w:jc w:val="center"/>
              <w:ind w:right="4260"/>
              <w:spacing w:after="0"/>
              <w:rPr>
                <w:sz w:val="20"/>
                <w:szCs w:val="20"/>
                <w:color w:val="auto"/>
              </w:rPr>
            </w:pPr>
            <w:r>
              <w:rPr>
                <w:rFonts w:ascii="Arial" w:cs="Arial" w:eastAsia="Arial" w:hAnsi="Arial"/>
                <w:sz w:val="17"/>
                <w:szCs w:val="17"/>
                <w:b w:val="1"/>
                <w:bCs w:val="1"/>
                <w:color w:val="auto"/>
              </w:rPr>
              <w:t>Part III</w:t>
            </w: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0" w:type="dxa"/>
            <w:vAlign w:val="bottom"/>
          </w:tcPr>
          <w:p>
            <w:pPr>
              <w:ind w:left="20"/>
              <w:spacing w:after="0"/>
              <w:rPr>
                <w:sz w:val="20"/>
                <w:szCs w:val="20"/>
                <w:color w:val="auto"/>
              </w:rPr>
            </w:pPr>
            <w:r>
              <w:rPr>
                <w:rFonts w:ascii="Arial" w:cs="Arial" w:eastAsia="Arial" w:hAnsi="Arial"/>
                <w:sz w:val="17"/>
                <w:szCs w:val="17"/>
                <w:color w:val="auto"/>
              </w:rPr>
              <w:t>Item 10.</w:t>
            </w:r>
          </w:p>
        </w:tc>
        <w:tc>
          <w:tcPr>
            <w:tcW w:w="3980" w:type="dxa"/>
            <w:vAlign w:val="bottom"/>
            <w:gridSpan w:val="12"/>
          </w:tcPr>
          <w:p>
            <w:pPr>
              <w:spacing w:after="0"/>
              <w:rPr>
                <w:sz w:val="20"/>
                <w:szCs w:val="20"/>
                <w:color w:val="auto"/>
              </w:rPr>
            </w:pPr>
            <w:r>
              <w:rPr>
                <w:rFonts w:ascii="Arial" w:cs="Arial" w:eastAsia="Arial" w:hAnsi="Arial"/>
                <w:sz w:val="17"/>
                <w:szCs w:val="17"/>
                <w:color w:val="0000FF"/>
                <w:w w:val="93"/>
              </w:rPr>
              <w:t>Directors, Executive Officers and Corporate Governance</w:t>
            </w:r>
          </w:p>
        </w:tc>
        <w:tc>
          <w:tcPr>
            <w:tcW w:w="5100" w:type="dxa"/>
            <w:vAlign w:val="bottom"/>
            <w:gridSpan w:val="6"/>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11.</w:t>
            </w:r>
          </w:p>
        </w:tc>
        <w:tc>
          <w:tcPr>
            <w:tcW w:w="1760" w:type="dxa"/>
            <w:vAlign w:val="bottom"/>
            <w:gridSpan w:val="7"/>
          </w:tcPr>
          <w:p>
            <w:pPr>
              <w:spacing w:after="0"/>
              <w:rPr>
                <w:sz w:val="20"/>
                <w:szCs w:val="20"/>
                <w:color w:val="auto"/>
              </w:rPr>
            </w:pPr>
            <w:r>
              <w:rPr>
                <w:rFonts w:ascii="Arial" w:cs="Arial" w:eastAsia="Arial" w:hAnsi="Arial"/>
                <w:sz w:val="17"/>
                <w:szCs w:val="17"/>
                <w:color w:val="0000FF"/>
                <w:w w:val="92"/>
              </w:rPr>
              <w:t>Executive Compensation</w:t>
            </w:r>
          </w:p>
        </w:tc>
        <w:tc>
          <w:tcPr>
            <w:tcW w:w="2220" w:type="dxa"/>
            <w:vAlign w:val="bottom"/>
            <w:gridSpan w:val="5"/>
          </w:tcPr>
          <w:p>
            <w:pPr>
              <w:spacing w:after="0"/>
              <w:rPr>
                <w:sz w:val="22"/>
                <w:szCs w:val="22"/>
                <w:color w:val="auto"/>
              </w:rPr>
            </w:pPr>
          </w:p>
        </w:tc>
        <w:tc>
          <w:tcPr>
            <w:tcW w:w="5100" w:type="dxa"/>
            <w:vAlign w:val="bottom"/>
            <w:gridSpan w:val="6"/>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12.</w:t>
            </w:r>
          </w:p>
        </w:tc>
        <w:tc>
          <w:tcPr>
            <w:tcW w:w="9080" w:type="dxa"/>
            <w:vAlign w:val="bottom"/>
            <w:gridSpan w:val="18"/>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13.</w:t>
            </w:r>
          </w:p>
        </w:tc>
        <w:tc>
          <w:tcPr>
            <w:tcW w:w="5300" w:type="dxa"/>
            <w:vAlign w:val="bottom"/>
            <w:gridSpan w:val="14"/>
          </w:tcPr>
          <w:p>
            <w:pPr>
              <w:spacing w:after="0"/>
              <w:rPr>
                <w:sz w:val="20"/>
                <w:szCs w:val="20"/>
                <w:color w:val="auto"/>
              </w:rPr>
            </w:pPr>
            <w:r>
              <w:rPr>
                <w:rFonts w:ascii="Arial" w:cs="Arial" w:eastAsia="Arial" w:hAnsi="Arial"/>
                <w:sz w:val="17"/>
                <w:szCs w:val="17"/>
                <w:color w:val="0000FF"/>
                <w:w w:val="91"/>
              </w:rPr>
              <w:t>Certain Relationships and Related Transactions, and Director Independence</w:t>
            </w:r>
          </w:p>
        </w:tc>
        <w:tc>
          <w:tcPr>
            <w:tcW w:w="3780" w:type="dxa"/>
            <w:vAlign w:val="bottom"/>
            <w:gridSpan w:val="4"/>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14.</w:t>
            </w:r>
          </w:p>
        </w:tc>
        <w:tc>
          <w:tcPr>
            <w:tcW w:w="5300" w:type="dxa"/>
            <w:vAlign w:val="bottom"/>
            <w:gridSpan w:val="14"/>
          </w:tcPr>
          <w:p>
            <w:pPr>
              <w:spacing w:after="0"/>
              <w:rPr>
                <w:sz w:val="20"/>
                <w:szCs w:val="20"/>
                <w:color w:val="auto"/>
              </w:rPr>
            </w:pPr>
            <w:r>
              <w:rPr>
                <w:rFonts w:ascii="Arial" w:cs="Arial" w:eastAsia="Arial" w:hAnsi="Arial"/>
                <w:sz w:val="17"/>
                <w:szCs w:val="17"/>
                <w:color w:val="0000FF"/>
              </w:rPr>
              <w:t>Principal Accounting Fees and Services</w:t>
            </w:r>
          </w:p>
        </w:tc>
        <w:tc>
          <w:tcPr>
            <w:tcW w:w="3780" w:type="dxa"/>
            <w:vAlign w:val="bottom"/>
            <w:gridSpan w:val="4"/>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2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5"/>
          </w:tcPr>
          <w:p>
            <w:pPr>
              <w:jc w:val="center"/>
              <w:ind w:right="4260"/>
              <w:spacing w:after="0"/>
              <w:rPr>
                <w:sz w:val="20"/>
                <w:szCs w:val="20"/>
                <w:color w:val="auto"/>
              </w:rPr>
            </w:pPr>
            <w:r>
              <w:rPr>
                <w:rFonts w:ascii="Arial" w:cs="Arial" w:eastAsia="Arial" w:hAnsi="Arial"/>
                <w:sz w:val="17"/>
                <w:szCs w:val="17"/>
                <w:b w:val="1"/>
                <w:bCs w:val="1"/>
                <w:color w:val="auto"/>
              </w:rPr>
              <w:t>Part IV</w:t>
            </w: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0" w:type="dxa"/>
            <w:vAlign w:val="bottom"/>
          </w:tcPr>
          <w:p>
            <w:pPr>
              <w:ind w:left="20"/>
              <w:spacing w:after="0"/>
              <w:rPr>
                <w:sz w:val="20"/>
                <w:szCs w:val="20"/>
                <w:color w:val="auto"/>
              </w:rPr>
            </w:pPr>
            <w:r>
              <w:rPr>
                <w:rFonts w:ascii="Arial" w:cs="Arial" w:eastAsia="Arial" w:hAnsi="Arial"/>
                <w:sz w:val="17"/>
                <w:szCs w:val="17"/>
                <w:color w:val="auto"/>
              </w:rPr>
              <w:t>Item 15.</w:t>
            </w:r>
          </w:p>
        </w:tc>
        <w:tc>
          <w:tcPr>
            <w:tcW w:w="3080" w:type="dxa"/>
            <w:vAlign w:val="bottom"/>
            <w:gridSpan w:val="10"/>
          </w:tcPr>
          <w:p>
            <w:pPr>
              <w:spacing w:after="0"/>
              <w:rPr>
                <w:sz w:val="20"/>
                <w:szCs w:val="20"/>
                <w:color w:val="auto"/>
              </w:rPr>
            </w:pPr>
            <w:r>
              <w:rPr>
                <w:rFonts w:ascii="Arial" w:cs="Arial" w:eastAsia="Arial" w:hAnsi="Arial"/>
                <w:sz w:val="17"/>
                <w:szCs w:val="17"/>
                <w:color w:val="0000FF"/>
                <w:w w:val="92"/>
              </w:rPr>
              <w:t>Exhibits and Financial Statement Schedules</w:t>
            </w:r>
          </w:p>
        </w:tc>
        <w:tc>
          <w:tcPr>
            <w:tcW w:w="6000" w:type="dxa"/>
            <w:vAlign w:val="bottom"/>
            <w:gridSpan w:val="8"/>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Pr>
          <w:p>
            <w:pPr>
              <w:ind w:left="20"/>
              <w:spacing w:after="0"/>
              <w:rPr>
                <w:sz w:val="20"/>
                <w:szCs w:val="20"/>
                <w:color w:val="auto"/>
              </w:rPr>
            </w:pPr>
            <w:r>
              <w:rPr>
                <w:rFonts w:ascii="Arial" w:cs="Arial" w:eastAsia="Arial" w:hAnsi="Arial"/>
                <w:sz w:val="17"/>
                <w:szCs w:val="17"/>
                <w:color w:val="auto"/>
              </w:rPr>
              <w:t>Item 16.</w:t>
            </w:r>
          </w:p>
        </w:tc>
        <w:tc>
          <w:tcPr>
            <w:tcW w:w="3080" w:type="dxa"/>
            <w:vAlign w:val="bottom"/>
            <w:gridSpan w:val="10"/>
          </w:tcPr>
          <w:p>
            <w:pPr>
              <w:spacing w:after="0"/>
              <w:rPr>
                <w:sz w:val="20"/>
                <w:szCs w:val="20"/>
                <w:color w:val="auto"/>
              </w:rPr>
            </w:pPr>
            <w:r>
              <w:rPr>
                <w:rFonts w:ascii="Arial" w:cs="Arial" w:eastAsia="Arial" w:hAnsi="Arial"/>
                <w:sz w:val="17"/>
                <w:szCs w:val="17"/>
                <w:color w:val="0000FF"/>
              </w:rPr>
              <w:t>Form 10-K Summary</w:t>
            </w:r>
          </w:p>
        </w:tc>
        <w:tc>
          <w:tcPr>
            <w:tcW w:w="6000" w:type="dxa"/>
            <w:vAlign w:val="bottom"/>
            <w:gridSpan w:val="8"/>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7"/>
                <w:szCs w:val="17"/>
                <w:color w:val="0000FF"/>
              </w:rPr>
              <w:t>86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1"/>
        </w:trPr>
        <w:tc>
          <w:tcPr>
            <w:tcW w:w="1200" w:type="dxa"/>
            <w:vAlign w:val="bottom"/>
          </w:tcPr>
          <w:p>
            <w:pPr>
              <w:spacing w:after="0"/>
              <w:rPr>
                <w:sz w:val="24"/>
                <w:szCs w:val="24"/>
                <w:color w:val="auto"/>
              </w:rPr>
            </w:pPr>
          </w:p>
        </w:tc>
        <w:tc>
          <w:tcPr>
            <w:tcW w:w="1500" w:type="dxa"/>
            <w:vAlign w:val="bottom"/>
            <w:tcBorders>
              <w:top w:val="single" w:sz="8" w:color="0000FF"/>
            </w:tcBorders>
            <w:gridSpan w:val="5"/>
          </w:tcPr>
          <w:p>
            <w:pPr>
              <w:spacing w:after="0"/>
              <w:rPr>
                <w:sz w:val="24"/>
                <w:szCs w:val="24"/>
                <w:color w:val="auto"/>
              </w:rPr>
            </w:pPr>
          </w:p>
        </w:tc>
        <w:tc>
          <w:tcPr>
            <w:tcW w:w="3800" w:type="dxa"/>
            <w:vAlign w:val="bottom"/>
            <w:gridSpan w:val="9"/>
          </w:tcPr>
          <w:p>
            <w:pPr>
              <w:jc w:val="right"/>
              <w:ind w:right="753"/>
              <w:spacing w:after="0"/>
              <w:rPr>
                <w:sz w:val="20"/>
                <w:szCs w:val="20"/>
                <w:color w:val="auto"/>
              </w:rPr>
            </w:pPr>
            <w:r>
              <w:rPr>
                <w:rFonts w:ascii="Arial" w:cs="Arial" w:eastAsia="Arial" w:hAnsi="Arial"/>
                <w:sz w:val="17"/>
                <w:szCs w:val="17"/>
                <w:color w:val="auto"/>
              </w:rPr>
              <w:t>1</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50"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These forward-looking statements include, among others, such things as:</w:t>
      </w:r>
    </w:p>
    <w:p>
      <w:pPr>
        <w:spacing w:after="0" w:line="172" w:lineRule="exact"/>
        <w:rPr>
          <w:sz w:val="20"/>
          <w:szCs w:val="20"/>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amounts and nature of future project awards, revenue and margins from each of our segments;</w:t>
      </w:r>
    </w:p>
    <w:p>
      <w:pPr>
        <w:spacing w:after="0" w:line="171" w:lineRule="exact"/>
        <w:rPr>
          <w:rFonts w:ascii="Arial" w:cs="Arial" w:eastAsia="Arial" w:hAnsi="Arial"/>
          <w:sz w:val="17"/>
          <w:szCs w:val="17"/>
          <w:color w:val="auto"/>
        </w:rPr>
      </w:pPr>
    </w:p>
    <w:p>
      <w:pPr>
        <w:ind w:left="640" w:right="760" w:hanging="320"/>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access our credit facility, or raise cash in order to meet our short and long-term capital requirements;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the covenants in our credit agreement;</w:t>
      </w:r>
    </w:p>
    <w:p>
      <w:pPr>
        <w:spacing w:after="0" w:line="171" w:lineRule="exact"/>
        <w:rPr>
          <w:rFonts w:ascii="Arial" w:cs="Arial" w:eastAsia="Arial" w:hAnsi="Arial"/>
          <w:sz w:val="17"/>
          <w:szCs w:val="17"/>
          <w:color w:val="auto"/>
        </w:rPr>
      </w:pPr>
    </w:p>
    <w:p>
      <w:pPr>
        <w:ind w:left="640" w:right="180" w:hanging="320"/>
        <w:spacing w:after="0" w:line="28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to our business from economic, market or business conditions in general and in the oil, natural gas, power, petrochemical, agricultural and mining industries in particular;</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inflation on our operating expenses and our business operations;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likely impact of new or existing regulations or market forces on the demand for our services;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to our business of the COVID-19 pandemic and its related disruptions to supply chains, inflation and availability of materials and labor;</w:t>
      </w:r>
    </w:p>
    <w:p>
      <w:pPr>
        <w:spacing w:after="0" w:line="183" w:lineRule="exact"/>
        <w:rPr>
          <w:rFonts w:ascii="Arial" w:cs="Arial" w:eastAsia="Arial" w:hAnsi="Arial"/>
          <w:sz w:val="16"/>
          <w:szCs w:val="16"/>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with respect to the likelihood of a future impairment;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expansion and other trends of the industries we serve.</w:t>
      </w:r>
    </w:p>
    <w:p>
      <w:pPr>
        <w:spacing w:after="0" w:line="172"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84" w:lineRule="exact"/>
        <w:rPr>
          <w:sz w:val="20"/>
          <w:szCs w:val="20"/>
          <w:color w:val="auto"/>
        </w:rPr>
      </w:pPr>
    </w:p>
    <w:p>
      <w:pPr>
        <w:ind w:left="640" w:right="260" w:hanging="320"/>
        <w:spacing w:after="0" w:line="289"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discussed in Item 1A of this Annual Report and listed from time to time in our filings with the Securities and Exchange Commission ("SEC");</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oil, natural gas, power, petrochemical, agricultural and mining industries in particular;</w:t>
      </w:r>
    </w:p>
    <w:p>
      <w:pPr>
        <w:spacing w:after="0" w:line="183" w:lineRule="exact"/>
        <w:rPr>
          <w:rFonts w:ascii="Arial" w:cs="Arial" w:eastAsia="Arial" w:hAnsi="Arial"/>
          <w:sz w:val="16"/>
          <w:szCs w:val="16"/>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transition to renewable energy sources and its impact on our current customer base;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under- or over-utilization of our work force;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delays in the commencement or progression of major projects, whether due to permitting issues or other factors;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reduced creditworthiness of our customer base and the higher risk of non-payment of receivables;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inherently uncertain outcome of current and future litigation;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reserves for claims and contingencies;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laws or regulations, including the imposition, cancellation or delay of tariffs on imported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began operations in 1984 as an Oklahoma corporation under the name of Matrix Service. In 1989, we incorporated in the State of Delaware under the name of Matrix Service Company. We provide engineering, fabrication, construction, and maintenance services to support critical energy infrastructure and industrial markets. We maintain regional offices throughout the United States, Canada and other international locations, and operate through separate union and merit subsidiaries.</w:t>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licensed to operate in all 50 states, in four Canadian provinces and in other international locations. Our principal executive offices are located at 5100 E. Skelly Drive, Suite 500, Tulsa, Oklahoma 74135. Our telephone number is (918) 838-8822. Unless the context otherwise requires, all references herein to “Matrix Service Company”, “Matrix”, the “Company” or to “we”, “our”, and “us” are to Matrix Service Company and its subsidiaries.</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believe we have an obligation to better the world in which we live and work – to do today’s work in a manner that advances and protects tomorrow’s world for future generations. Across the ideals of environmental stewardship, social responsibility, governance, diversity, inclusiveness and equity, we are committed to ensuring our business strategies, policies, and practices align with sustainability goals where we can have the greatest impact globally and in our own local communities. We are committed to fulfilling our purpose today by safely engineering, constructing, and maintaining essential infrastructure that provides a better, brighter future for tomorrow.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WEBSITE ACCESS TO REPORTS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Our public website is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We make available free of charge through the "Investor Relations" section of our website our annual reports to stockholders, annual reports on Form 10-K, quarterly reports on Form 10-Q, current reports on Form 8-K, including exhibits, and amendments to those reports filed or furnished pursuant to Section 13(a) or 15(d) of the Securities Exchange Act of 1934, as amended, as soon as reasonably practicable after we electronically file such material with, or furnish it to, the SEC. Any materials we file with or furnish to the SEC are also maintained on the SEC website (</w:t>
      </w:r>
      <w:r>
        <w:rPr>
          <w:rFonts w:ascii="Arial" w:cs="Arial" w:eastAsia="Arial" w:hAnsi="Arial"/>
          <w:sz w:val="17"/>
          <w:szCs w:val="17"/>
          <w:u w:val="single" w:color="auto"/>
          <w:color w:val="auto"/>
        </w:rPr>
        <w:t>sec.gov</w:t>
      </w:r>
      <w:r>
        <w:rPr>
          <w:rFonts w:ascii="Arial" w:cs="Arial" w:eastAsia="Arial" w:hAnsi="Arial"/>
          <w:sz w:val="17"/>
          <w:szCs w:val="17"/>
          <w:color w:val="auto"/>
        </w:rPr>
        <w:t>).</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information contained on our website, or available by hyperlink from our website, is not incorporated into this Annual Report or other documents we file with, or furnish to, the SEC. We intend to use our website as a means of disclosing material non-public information and for complying with our disclosure obligations under Regulation FD. Such disclosures will be included in the "Investor Relations" section of our website. Investors should monitor that section of our website for press releases, investor presentations, SEC filings and public conference calls and webcasts.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While not our primary means of communication, investors can also learn more about us by visiting our social media channels. We encourage investors, the media, and others interested in us to review the information posted on our Facebook site (</w:t>
      </w:r>
      <w:r>
        <w:rPr>
          <w:rFonts w:ascii="Arial" w:cs="Arial" w:eastAsia="Arial" w:hAnsi="Arial"/>
          <w:sz w:val="17"/>
          <w:szCs w:val="17"/>
          <w:u w:val="single" w:color="auto"/>
          <w:color w:val="auto"/>
        </w:rPr>
        <w:t>facebook.com/matrixservicecompany</w:t>
      </w:r>
      <w:r>
        <w:rPr>
          <w:rFonts w:ascii="Arial" w:cs="Arial" w:eastAsia="Arial" w:hAnsi="Arial"/>
          <w:sz w:val="17"/>
          <w:szCs w:val="17"/>
          <w:color w:val="auto"/>
        </w:rPr>
        <w:t>), our LinkedIn account (</w:t>
      </w:r>
      <w:r>
        <w:rPr>
          <w:rFonts w:ascii="Arial" w:cs="Arial" w:eastAsia="Arial" w:hAnsi="Arial"/>
          <w:sz w:val="17"/>
          <w:szCs w:val="17"/>
          <w:u w:val="single" w:color="auto"/>
          <w:color w:val="auto"/>
        </w:rPr>
        <w:t>linkedin.com/company/matrix-service-company</w:t>
      </w:r>
      <w:r>
        <w:rPr>
          <w:rFonts w:ascii="Arial" w:cs="Arial" w:eastAsia="Arial" w:hAnsi="Arial"/>
          <w:sz w:val="17"/>
          <w:szCs w:val="17"/>
          <w:color w:val="auto"/>
        </w:rPr>
        <w:t>) and our Twitter account (</w:t>
      </w:r>
      <w:r>
        <w:rPr>
          <w:rFonts w:ascii="Arial" w:cs="Arial" w:eastAsia="Arial" w:hAnsi="Arial"/>
          <w:sz w:val="17"/>
          <w:szCs w:val="17"/>
          <w:u w:val="single" w:color="auto"/>
          <w:color w:val="auto"/>
        </w:rPr>
        <w:t>twitter.com/matrixserviceco</w:t>
      </w:r>
      <w:r>
        <w:rPr>
          <w:rFonts w:ascii="Arial" w:cs="Arial" w:eastAsia="Arial" w:hAnsi="Arial"/>
          <w:sz w:val="17"/>
          <w:szCs w:val="17"/>
          <w:color w:val="auto"/>
        </w:rPr>
        <w:t>). Investors, the media or other interested parties can subscribe to the Twitter feed at the address listed above. The information contained in our social media accounts is not incorporated into this Annual Report or other documents we file with, or furnish to, the SEC.</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operate our business through three reportable segments:</w:t>
      </w:r>
    </w:p>
    <w:p>
      <w:pPr>
        <w:spacing w:after="0" w:line="166" w:lineRule="exact"/>
        <w:rPr>
          <w:sz w:val="20"/>
          <w:szCs w:val="20"/>
          <w:color w:val="auto"/>
        </w:rPr>
      </w:pPr>
    </w:p>
    <w:p>
      <w:pPr>
        <w:jc w:val="both"/>
        <w:ind w:left="640" w:hanging="320"/>
        <w:spacing w:after="0" w:line="292" w:lineRule="auto"/>
        <w:tabs>
          <w:tab w:leader="none" w:pos="635"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Utility and Power Infrastructure</w:t>
      </w:r>
      <w:r>
        <w:rPr>
          <w:rFonts w:ascii="Arial" w:cs="Arial" w:eastAsia="Arial" w:hAnsi="Arial"/>
          <w:sz w:val="16"/>
          <w:szCs w:val="16"/>
          <w:color w:val="auto"/>
        </w:rPr>
        <w:t>: consists of power delivery services provided to investor-owned utilities, including construction of new substations,</w:t>
      </w:r>
      <w:r>
        <w:rPr>
          <w:rFonts w:ascii="Arial" w:cs="Arial" w:eastAsia="Arial" w:hAnsi="Arial"/>
          <w:sz w:val="16"/>
          <w:szCs w:val="16"/>
          <w:b w:val="1"/>
          <w:bCs w:val="1"/>
          <w:color w:val="auto"/>
        </w:rPr>
        <w:t xml:space="preserve"> </w:t>
      </w:r>
      <w:r>
        <w:rPr>
          <w:rFonts w:ascii="Arial" w:cs="Arial" w:eastAsia="Arial" w:hAnsi="Arial"/>
          <w:sz w:val="16"/>
          <w:szCs w:val="16"/>
          <w:color w:val="auto"/>
        </w:rPr>
        <w:t>upgrades of existing substations, transmission and distribution line installations, upgrades and maintenance, as well as emergency and storm restoration services. We also provide engineering, fabrication, and construction services for LNG utility peak shaving facilities, and construction and maintenance services to a variety of power generation facilities, including natural gas fired facilities, in simple or combined cycle configuration.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40" w:hanging="320"/>
        <w:spacing w:after="0" w:line="267"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Process and Industrial Facilities</w:t>
      </w:r>
      <w:r>
        <w:rPr>
          <w:rFonts w:ascii="Arial" w:cs="Arial" w:eastAsia="Arial" w:hAnsi="Arial"/>
          <w:sz w:val="17"/>
          <w:szCs w:val="17"/>
          <w:color w:val="auto"/>
        </w:rPr>
        <w:t>: primarily serves customers in the downstream and midstream petroleum industries who are engaged in refining</w:t>
      </w:r>
      <w:r>
        <w:rPr>
          <w:rFonts w:ascii="Arial" w:cs="Arial" w:eastAsia="Arial" w:hAnsi="Arial"/>
          <w:sz w:val="17"/>
          <w:szCs w:val="17"/>
          <w:b w:val="1"/>
          <w:bCs w:val="1"/>
          <w:color w:val="auto"/>
        </w:rPr>
        <w:t xml:space="preserve"> </w:t>
      </w:r>
      <w:r>
        <w:rPr>
          <w:rFonts w:ascii="Arial" w:cs="Arial" w:eastAsia="Arial" w:hAnsi="Arial"/>
          <w:sz w:val="17"/>
          <w:szCs w:val="17"/>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19" w:lineRule="exact"/>
        <w:rPr>
          <w:rFonts w:ascii="Arial" w:cs="Arial" w:eastAsia="Arial" w:hAnsi="Arial"/>
          <w:sz w:val="17"/>
          <w:szCs w:val="17"/>
          <w:color w:val="auto"/>
        </w:rPr>
      </w:pPr>
    </w:p>
    <w:p>
      <w:pPr>
        <w:jc w:val="both"/>
        <w:ind w:left="640" w:hanging="320"/>
        <w:spacing w:after="0" w:line="265"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storage tanks and terminals. We also include work related to cryogenic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specialty storage tanks and terminals, including LNG, liquid nitrogen/liquid oxygen, liquid petroleum, hydrogen and other specialty vessels such as spheres in this segment, as well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BUSINESS MATTERS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and Marketing</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provided services to approximately 400 customers in fiscal 2022. Most of our revenue comes from long-term customer relationships. One customer accounted for $87.2 million or 12.3% of our consolidated revenue in fiscal 2022, which was primarily included in the Process and Industrial Facilities segment. Another customer accounted for $78.1 million or 11.0% of our consolidated revenue in fiscal 2022, all of which was included in the Utility and Power Infrastructure segment. No other customers individually accounted for more than 10% of our consolidated revenue in fiscal 2022. See Part II, Item 8. Financial Statement and Supplementary Data, Note 13 - Segment Information, for more information about concentration of revenue by segment.</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market our services and products primarily through our marketing and business development personnel, senior professional staff and our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compete with local, regional, national and international contractors and service providers. Competitors vary with the markets we serve with few competitors competing in all of the markets we serve or in providing all of the services we provide. Contracts are generally awarded based on price, quality, safety performance, schedule, experience and customer satisfaction.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7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spacing w:after="0" w:line="83" w:lineRule="exact"/>
        <w:rPr>
          <w:sz w:val="20"/>
          <w:szCs w:val="20"/>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fixed-price awards;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minimum customer commitments on cost plus arrangements; and</w:t>
      </w:r>
    </w:p>
    <w:p>
      <w:pPr>
        <w:spacing w:after="0" w:line="171" w:lineRule="exact"/>
        <w:rPr>
          <w:rFonts w:ascii="Arial" w:cs="Arial" w:eastAsia="Arial" w:hAnsi="Arial"/>
          <w:sz w:val="17"/>
          <w:szCs w:val="17"/>
          <w:color w:val="auto"/>
        </w:rPr>
      </w:pPr>
    </w:p>
    <w:p>
      <w:pPr>
        <w:ind w:left="640" w:right="220" w:hanging="320"/>
        <w:spacing w:after="0" w:line="289"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certain time and material arrangements in which the estimated value is firm or can be estimated with a reasonable amount of certainty in both timing and amounts.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changes in our backlog in fiscal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Utility and Power</w:t>
            </w:r>
          </w:p>
        </w:tc>
        <w:tc>
          <w:tcPr>
            <w:tcW w:w="1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Storage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0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2"/>
              </w:rPr>
              <w:t>Terminal</w:t>
            </w:r>
          </w:p>
        </w:tc>
        <w:tc>
          <w:tcPr>
            <w:tcW w:w="280" w:type="dxa"/>
            <w:vAlign w:val="bottom"/>
          </w:tcPr>
          <w:p>
            <w:pPr>
              <w:spacing w:after="0"/>
              <w:rPr>
                <w:sz w:val="12"/>
                <w:szCs w:val="12"/>
                <w:color w:val="auto"/>
              </w:rPr>
            </w:pPr>
          </w:p>
        </w:tc>
        <w:tc>
          <w:tcPr>
            <w:tcW w:w="9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Infrastructure</w:t>
            </w: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4"/>
              </w:rPr>
              <w:t>Solutions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Backlog as of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157,741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462,561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7"/>
                <w:szCs w:val="17"/>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152,109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412,358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270,212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834,679</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(254,848)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(707,780)</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7"/>
                <w:szCs w:val="17"/>
                <w:color w:val="auto"/>
              </w:rPr>
              <w:t>Backlog as of June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102,059</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292,287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195,114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589,460</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Book-to-bill ratio</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299720</wp:posOffset>
            </wp:positionV>
            <wp:extent cx="799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40"/>
        <w:spacing w:after="0"/>
        <w:tabs>
          <w:tab w:leader="none" w:pos="5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Calculated by dividing project awards by revenue recognized.</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Utility and Power Infrastructure segment, backlog decreased by 40.0% as we booked $152.1 million of project awards in fiscal 2022. Our opportunity pipeline for LNG peak shaving projects continues to be promising, however those awards, while significant, can be less frequent. Bidding activity is strong in the power delivery portion of the business. During fiscal 2022, we received several key contracts for electrical infrastructure services including substation and transmission line rebuilds, relay upgrades, and fiber installation.</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Process and Industrial Facilities segment, backlog increased by 116.9% as we booked $412.4 million of project awards in fiscal 2022. Client spending related to refinery maintenance operations has returned to near-normal pre-pandemic levels. During fiscal 2022, we received key awards for two thermal vacuum chamber projects, a midstream gas processing plant, a borate mining facility, a refinery capital project, and other renewable energy capital projects. We continue to see strong demand for thermal vacuum chambers in the coming quarters, as well as increasing opportunities in mining and minerals, and chemicals. In addition, we are seeing more opportunities for midstream gas work, including some larger scale projects.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Storage and Terminal Solutions segment, backlog increased by 23.7% as we booked $270.2 million of project awards during fiscal 2022. This segment includes significant opportunities for storage infrastructure projects related to natural gas, LNG, ammonia, hydrogen, NGLs and other forms of renewable energy. We believe LNG and hydrogen projects in particular will be key growth drivers for this segment. Bidding activity on LNG projects has been strong and we have been positioning ourselves for growth in hydrogen by entering into key relationships, such as the signing of a memorandum of understanding ("MOU") with Korea Gas Corporation in August 2022 to support South Korea’s development of a hydrogen economy as it transforms itself from natural gas and the signing of a MOU with Chart Industries, Inc. in January of 2021 to support the development of hydrogen solutions. Oil and natural gas producers have remained cautious with capital spending, which has limited opportunities in crude oil tanks and terminals. However, the price of crude oil and natural gas increased significantly during fiscal 2022, which, if sustained, may lead to higher production volumes and more opportunities for crude oil tanks, terminals and export facilities in the coming quarters.</w:t>
      </w:r>
    </w:p>
    <w:p>
      <w:pPr>
        <w:spacing w:after="0" w:line="132"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We expect to recognize approximately 83% of our total backlog reported as of June 30, 2022 as revenue within fiscal 2023.</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and Other Factors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overhead cost structure is generally fixed. Significant fluctuations in revenue volume usually leads to over or under recovery of fixed overhead costs, which can have a material impact on our gross margin and profitability.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Sources and Availability</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COVID-19 pandemic and increased demand and competition for qualified labor have resulted in disruptions to global supply chains, which have led to higher prices for some of the materials we need to run our business, including, but not limited to, structural steel, steel piping, rebar, valves, copper, electrical components, fabricated products and equipment, and delivery freight. We have been proactive with managing our procurement processes to help reduce the impacts of rising materials prices on our business and to help ensure we continue to have the materials we need available. However, rising prices and the potential for materials shortages have created additional risk into bidding and executing work profitably.</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timing of normalization of the global supply chains is uncertain and will depend on several factors, including the speed of recovery from the pandemic, producer capacity, the level of imports, worldwide demand, tariffs on imported goods and other market conditions.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maintain insurance coverage for various aspects of our operations. However, exposure to potential losses is retained through the use of deductibles, self-insured retentions and coverage limits.</w:t>
      </w:r>
    </w:p>
    <w:p>
      <w:pPr>
        <w:spacing w:after="0" w:line="10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Typically our contracts require us to indemnify our customers for injury, damage or loss arising from the performance of our services and provide warranties for materials. We may also be required to name the customer as an additional insured up to the limits of insurance available, to purchase special insurance policies or surety bonds for specific customers or to provide letters of credit in lieu of bonds to satisfy performance and financial guarantees on some projects. We maintain a performance and payment bonding line sufficient to support the business. We generally require our subcontractors to indemnify us and our customers and name us as an additional insured for activities arising out of the subcontractors’ work. We also require certain subcontractors to provide additional insurance policies, including surety bonds in favor of us, to secure the subcontractors’ work. There can be no assurance that our insurance and the additional insurance coverage provided by our subcontractors will fully protect us against a valid claim or loss under the contracts with our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Successful execution of our business strategy is dependent on attracting, developing, and retaining key employees who represent our core values and the communities we serve. Our people are our greatest resource, which makes our certification in fiscal 2022 as a Great Place To Work® — for the sixth consecutive year — both a point of pride and an invaluable tool for continuous improvement supporting our objective of remaining an employer of choice.</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Given the nature of our work, the size of our employee population can vary significantly throughout the year because of the number, type, and size of projects we have in progress at any particular time. As of June 30, 2022, we had 2,810 employees worldwide. Of those employees, 677 were employed in office-based positions and 2,133 were employed in field or craft positions. The breakdown by country was: 2,467 located in the United States, 309 in Canada, and 34 across other international locations. At the end of fiscal 2022, 45% of our overall workforce and 28% of our management team was represented by women and minorities. Recognizing that commitment to Diversity, Equity and Inclusion (DEI) begins at the top, in fiscal 2022, Matrix increased the overall diversity of our Independent Board Members to 43%, with 29% female and 14% ethnically diverse.</w:t>
      </w:r>
    </w:p>
    <w:p>
      <w:pPr>
        <w:spacing w:after="0" w:line="1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percentage of our employees represented by unions as of June 30, 2022, was approximately 30%. Operating under collective bargaining agreements with various unions, our union employees are provided with benefits including health and welfare, pension, training programs and competitive compensation plans. We have not experienced any strikes or work stoppages in recent years and are proud that our relationships with our employees and labor unions are strong.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Ethics and Core Values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employees are entrusted with engineering, constructing, and maintaining the complex, critical infrastructure that supports modern daily living and quality of life. Ethics and integrity are foundational in our ability to be successful and are engrained in our culture and core values. Across all areas of our business, we maintain focus on compliance and doing the right thing, and integrity is essential to every aspect of our business, in both policy and practice. Accordingly, we are committed to ensuring compliance with all applicable laws and regulations, and to maintaining the highest standards of ethical conduct in accordance with our code of conduct.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and Safety</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Ensuring the safety of our employees and those around us is integral to who we are, and paramount to our success and sustainability. The journey to achieving and maintaining a zero-incident safety performance requires robust training along with comprehensive policies, processes, and systems to plan, perform, report, measure, review, and improve our performance. We have incorporated safety as a key performance metric in our incentive compensation plan by measuring our annual Total Recordable Incident Rate (‘‘TRIR’’), which is calculated by multiplying the number of recordable incidents by 200,000 and dividing that number by the total hours worked each year. This metric is also used by others in our industry, which allows for a more objective comparison of our performance. Our TRIR was 0.51, 0.28, and 0.50 during fiscal years 2022,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Diversity, Equity, and Inclusion (DEI)</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Foundational to attracting, developing, and retaining a diverse, engaged workforce is our commitment to making sure our employees feel safe, know they are valued, that their work matters, and that they are provided opportunities to achieve their maximum potential. We believe when we value each other’s differences and encourage everyone’s voice to be heard, we can break down the barriers that stifle ideas and opportunities.</w:t>
      </w:r>
    </w:p>
    <w:p>
      <w:pPr>
        <w:spacing w:after="0" w:line="1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fiscal 2022, we continued to advance and strengthen our culture. We launched our first Employee Resource Groups (ERGs), creating employee-led pathways for inclusion. We also continued year-round learning opportunities on unconscious bias and other DEI-specific topics and enhanced our DEI education offering available to all employees through Matrix University. We strengthened our accountability by increasing the diversity of our independent Board Members based on gender and ethnicity; establishing our ERG Executive Sponsor Program; advancing development of an employee survey designed to measure effectiveness of our DEI efforts and setting the framework for data analysis to identify opportunities for improvement. We also continued our participation in CEO Action for Diversity &amp; Inclusion and participated in a variety of community events including Advancing Oklahoma, a state-wide conversation on race, where Matrix leadership served on the committee that developed comprehensive programming to engage participants in discussions about race and history, the criminal justice system, everyday conversations, education, business, image and attitudes, advocacy, and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Rewards Package</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part of our compensation philosophy and to attract and retain superior talent, we offer and maintain market-competitive total rewards programs for our employees. In addition to base salaries, additional programs include incentive and project bonus opportunities, comprehensive healthcare coverage and insurance benefits, Company matched retirement plans, health savings and flexible spending accounts, an Employee Stock Purchase Plan, paid holidays and other paid time off, family leave, and flexible work schedules where possible. Other offerings include employee assistance programs with 365/24/7 access to resources and support, and Matrix HealthMatters, our robust wellness program that provides resources and education to help employees and their families get and stay healthy, focusing wholistically on physical, mental and financial health.</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Training and Employee Development Programs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Investment in continuous learning is essential to providing industry-leading expertise and service to our clients, continuous improvement across our organization, and meaningful career development opportunities for our people. From in-person to online courses, formalized and other specialized training, our employees benefit from opportunities to strengthen their leadership and management competencies, improve communication and interpersonal skills, and advance their technical proficiency. Through Matrix University, our people have access to resources that include a robust Learning Management System (LMS) that provides enterprise-wide access for employees to a number of online learning modules and support tools.</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employees also benefit from the Matrix Performance Development Program, designed for collaborative development of annual performance goals and to promote continuous, transparent feedback between employees and their supervisors.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Engagement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also empower our employees to donate time, talent, and resources through Company-led initiatives, employee matching, and paid volunteer time off. Each year, our employees collectively log thousands of hours participating in individual community service projects in addition to hours they invest serving on boards and participating in Company-sponsored charitable events. We also provide direct corporate financial support to nonprofit organizations in the communities where we live and work.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Technology</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subsidiaries have several patents and continue to pursue new ideas and innovations to better serve our customers in several areas of our business. The Flex-A-Span® and Flex-A-Seal® trademarks are utilized to market our unique seals for floating roof tanks. The FastFroth® trademark is utilized to market our unique industrial cleaning process. The Flowdome® trademark is used to market our geodesic dome tank roofs. Our SwingMaster® trademark is used to market our central type swing joints. The patent for the Training Tank for Personnel Entry, Exit and Rescue relates to a training device that can be used to train personnel on equipment that is made to simulate confined space scenarios. We hold two separate patents for Pipe Lifting and Orienting Apparatus and Method that is used to raise and lower pipes and to move them around the upper surface of floating roof of tanks. The Batten Joint for an Internal Floating Roof of a Fluid Tank allows us to overcome many of the disadvantages associated with other types of joints used for internal floating roofs for floating tanks.</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also hold a perpetual license to use various patents and technologies related to LNG storage tanks, liquid nitrogen/liquid oxygen storage tanks, liquid petroleum gas storage tanks and thermal vacuum chambers.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While our intellectual property is not our main business, we believe that the ability to use these patents, trademarks, and technology enables us to expand our presence in the markets we serve and minimizes the development costs typically associated with organic growth.</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and Safety Regulations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operations are subject to regulation by the U.S. Department of Labor Occupational Safety and Health Administration (“OSHA”) and Mine Safety and Health Administration (“MSHA”), the U.S. Department of Transportation,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We have established and consistently reinforce and monitor compliance with comprehensive programs intended to ensure that we comply with all applicable health and safety regulations to protect the safety of our workers, subcontractors and customers. While we believe that we operate safely and prudently, there can be no assurance that accidents will not occur or that we will not incur substantial liability in connection with the operation of our businesses. In order to minimize the financial exposure resulting from potential accidents associated with our work, we maintain liability insurance to limit losses that could result from our work.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Environmental</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we have an obligation to better the world in which we live and work – to do today’s work in a manner that advances and protects tomorrow’s world for future generations. Across our organization, from our project sites to our offices, we are committed to environmental stewardship and to continuously seeking better, more sustainable ways to perform our work in existing and new markets, including renewables.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operations and the operations of our customers are subject to extensive and changing environmental laws and regulations. These laws and regulations relate primarily to air and water pollutants and the management and disposal of hazardous materials. We are exposed to potential liability for personal injury or property damage caused by any release, spill, exposure or other accident involving such pollutants, substances or hazardous materials.</w:t>
      </w:r>
    </w:p>
    <w:p>
      <w:pPr>
        <w:spacing w:after="0" w:line="1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order to limit costs incurred as a result of environmental exposure, we maintain contractor’s pollution liability insurance that covers liability that may be incurred as a result of accidental releases of hazardous materials.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we are currently in compliance, in all material aspects, with all applicable environmental laws and regulations. We do not expect any material charges in subsequent periods relating to environmental conditions that currently exist and do not currently foresee any significant future capital spending relating to environmental matters.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Factors Related to Our Business and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depend upon the award of new contracts and the timing of those awards.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revenue is derived primarily from contracts awarded on a project-by-project basis. Generally, it is difficult to predict whether and when we will be awarded a new contract due to lengthy and complex bidding and selection processes, changes in existing or forecasted market conditions, customers' access to financing, governmental regulations, permitting and environmental matters. Because our revenue are derived from contract awards, our results of operations and cash flows can fluctuate materially from period to period.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demand for our products and services depends upon the existence of construction and maintenance projects primarily in the energy markets, including LNG, hydrogen, renewable energy, midstream and downstream petroleum, and other heavy industries in the United States and Canada. Therefore, it is likely that our business will continue to be cyclical in nature and vulnerable to general downturns in the United States, Canadian and world economies and negative changes in commodity and energy prices, which could adversely affect the demand for our products and services.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availability of engineering and construction projects is dependent upon economic conditions and the outlook for renewable energy, hydrogen, natural gas, oil, petrochemical, industrial, and power industries, and specifically, the level of capital expenditures on energy infrastructure. Our failure to obtain projects, the delay of project awards, the cancellation of projects or delays in the execution of contracts has resulted and may continue to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spacing w:after="0" w:line="127" w:lineRule="exact"/>
        <w:rPr>
          <w:sz w:val="20"/>
          <w:szCs w:val="20"/>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demand for alternative and renewable energy products, including hydrogen;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ability and demand to export LNG and other hydrocarbon products;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demand for natural gas, oil and electricity;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current or projected commodity prices, including natural gas, oil, power and mineral prices;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refining margins;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energy and industrial companies to generate, access and deploy capital;</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 rates;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technological challenges and advances;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tax incentives, including those for alternative energy projects;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regulatory restraints on the rates that power companies may charge their customers;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local, national and international political and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could be negatively impacted if we are not able to maintain appropriate utilization of our workforce.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The utilization of our workforce is impacted by numerous factors including:</w:t>
      </w:r>
    </w:p>
    <w:p>
      <w:pPr>
        <w:spacing w:after="0" w:line="120" w:lineRule="exact"/>
        <w:rPr>
          <w:sz w:val="20"/>
          <w:szCs w:val="20"/>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estimate of the headcount requirements for various operating units based upon our forecast of the demand for our products and services;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our talent base and manage attrition;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productivity;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schedule our portfolio of projects to efficiently utilize our employees and minimize downtime between project assignments; and</w:t>
      </w:r>
    </w:p>
    <w:p>
      <w:pPr>
        <w:spacing w:after="0" w:line="17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need to invest time and resources into functions such as training, business development, employee recruiting, and sales that are not chargeable to customer projects.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 and profitability.</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ability to attract and retain qualified engineers, project managers, skilled craftsmen and other experienced professionals in accordance with our need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Competent and experienced engineers, project estimators,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Our project managers are involved in most aspects of contracting and contract execution, including:</w:t>
      </w:r>
    </w:p>
    <w:p>
      <w:pPr>
        <w:spacing w:after="0" w:line="172" w:lineRule="exact"/>
        <w:rPr>
          <w:sz w:val="20"/>
          <w:szCs w:val="20"/>
          <w:color w:val="auto"/>
        </w:rPr>
      </w:pPr>
    </w:p>
    <w:p>
      <w:pPr>
        <w:ind w:left="640" w:right="36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supervising the bidding process, including providing estimates of significant cost components, such as material and equipment needs, and the size, productivity and composition of the workforce;</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negotiating contracts;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supervising project performance, including performance by our employees, subcontractors and other third-party suppliers and vendors;</w:t>
      </w:r>
    </w:p>
    <w:p>
      <w:pPr>
        <w:spacing w:after="0" w:line="171" w:lineRule="exact"/>
        <w:rPr>
          <w:rFonts w:ascii="Arial" w:cs="Arial" w:eastAsia="Arial" w:hAnsi="Arial"/>
          <w:sz w:val="17"/>
          <w:szCs w:val="17"/>
          <w:color w:val="auto"/>
        </w:rPr>
      </w:pPr>
    </w:p>
    <w:p>
      <w:pPr>
        <w:ind w:left="640" w:right="34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estimating costs for completion of contracts that is used to estimate amounts that can be reported as revenue and earnings on the contract under the percentage-of-completion method of accounting;</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negotiating requests for change orders and the final terms of approved change orders; and</w:t>
      </w:r>
    </w:p>
    <w:p>
      <w:pPr>
        <w:spacing w:after="0" w:line="171" w:lineRule="exact"/>
        <w:rPr>
          <w:rFonts w:ascii="Arial" w:cs="Arial" w:eastAsia="Arial" w:hAnsi="Arial"/>
          <w:sz w:val="17"/>
          <w:szCs w:val="17"/>
          <w:color w:val="auto"/>
        </w:rPr>
      </w:pPr>
    </w:p>
    <w:p>
      <w:pPr>
        <w:ind w:left="640" w:right="18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one or more of our significant customers could adversely affect us.</w:t>
      </w:r>
    </w:p>
    <w:p>
      <w:pPr>
        <w:spacing w:after="0" w:line="172"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One or more customers have in the past and may in the future contribute a material portion of our revenue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significant amount of our work is performed under fixed-price contracts. Under fixed-price contracts, we agree to perform the contract for a fixed 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costs in providing services in excess of original project scope without having an approved change order.</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affected by difficult work sites and environments, which may adversely affect our overall business.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susceptible to severe weather conditions as a result of climate change or otherwise, which may harm our business and financial results.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Our business may be adversely affected by severe weather in areas where we have significant operations. Repercussions of severe weather conditions may include:</w:t>
      </w:r>
    </w:p>
    <w:p>
      <w:pPr>
        <w:spacing w:after="0" w:line="106"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curtailment of services;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suspension of operations;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inability to meet performance schedules in accordance with contracts and potential liability for liquidated damages;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injuries or fatalities;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weather related damage to our facilities or work-in-progress on project sites;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disruption of information systems;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inability to receive machinery, equipment and materials at job sites;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 of productivity.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frequency and severity of severe weather conditions may be enhanced by present and future changes to our climate.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has been affected by inflation, supply chain disruptions and shortages of materials and labor.</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Following the onset of the pandemic and with the ongoing conflict between Ukraine and Russia in Europe, there has been a high degree of volatility in commodity and energy markets that affect our client's businesses. In addition, inflation in the United States has reached multi-decade highs and has been increasing since the beginning of the fiscal year. In some cases we have had to bid more competitively than before to win work, which has compressed margins somewhat given the higher inflation. It is uncertain how this market environment will impact our business, both positively or negatively.</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Domestic and foreign trade tariffs could raise the price and reduce the availability of raw materials to us, which could negatively impact our operating results and financial condition.</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Domestic and foreign trade tariffs could raise the price and reduce the availability of raw materials such as steel plate and steel pipe, which are key materials used by us. Supplies of these materials are available throughout the United States and globally from numerous sources. We anticipate that adequate amounts of these materials will be available in the foreseeable future. However, if trade tariffs should significantly impact the price and availability of these materials, we could experience lower gross margins, operational inefficiencies and project delays.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projects are conducted at a variety of sites including construction sites and industrial facilities. With each location, hazards are part of the day-to-day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result in an incident whether that involves an injury, damage or destruction of property, plant and equipment or an environmental impact. We are intensely focused on maintaining a strong safety culture and strive for zero incidents.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 and increase our insurance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0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contribute to multiemployer plans that could result in liabilities to us if those plans are terminated or if we withdraw from those plans.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withdraw, or partially withdraw from other multiemployer pension plans,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 failure or outage in our operational systems or cyber security attacks on any of our systems, or those of third parties, may adversely affect our financial results.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become more reliant on technology to help increase efficiency in our business. We use numerous technologies to help run our operations, and this may subject our business to increased risks. Any cyber security attack that affects our facilities, our systems, our customers and any of our financial data could have a material adverse effect on our business. In addition, a cyber-attack on our customer and employee data may result in a financial loss, including potential fines for failure to safeguard data, and may damage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experienced cybersecurity threats to our information technology infrastructure and have experienced cyber-attacks, attempts to breach our systems and other similar incidents. Such prior events have not had a material impact on our financial condition, results of operations or liquidity. However, future threats could cause harm to our business and our reputation, as well as negatively impact our results of operations materially. Our insurance coverage may not be adequate to cover all the costs related to cyber-attacks or disruptions resulting from such events.</w:t>
      </w:r>
    </w:p>
    <w:p>
      <w:pPr>
        <w:spacing w:after="0" w:line="1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Any security breach resulting in the unauthorized use or disclosure of certain personal information could put individuals at risk of identity theft and financial or other harm and result in costs to us in investigation, remediation, legal defense and in liability to parties who are financially harmed. We may incur significant costs to protect against the threat of information security breaches or to respond to or alleviate problems caused by such breaches. For example, laws may require notification to regulators, clients or employees and enlisting credit monitoring or identity theft protection in the event of a privacy breach. A cybersecurity attack could also be directed at our systems and result in interruptions in our operations or delivery of services to our clients and their customers. Furthermore, a material security breach could cause us to lose revenue, lose clients or cause damage to our reputation.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reduce organizational risk from cybersecurity threats, we carry cyber liability insurance and have undertaken several initiatives in recent years. We strengthened our identity and access management capabilities by requiring multi-factor authentication, increased the threat detection efficiencies within our security information and event management capacity, and completed projects designed to reduce our organization's external attack surface. In addition, in the area of security awareness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and training, we have updated our foundational curriculum, established mandatory recurring training requirements, and commenced periodic phishing campaign assessments.</w:t>
      </w:r>
    </w:p>
    <w:p>
      <w:pPr>
        <w:spacing w:after="0" w:line="10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Risks</w:t>
      </w:r>
    </w:p>
    <w:p>
      <w:pPr>
        <w:spacing w:after="0" w:line="17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Our borrowing capacity under our Credit Agreement is determined by the size of our borrowing base and if the size of our borrowing base does not provide adequate liquidity, then 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 believes it has sufficient cash on hand and will generate sufficient cash from operations to fund the business. However, should we require additional liquidity, there is risk that we will be unable access the amount of additional liquidity needed from our Credit Agreement if the level of assets included in the borrowing base is insufficient. The borrowing base includes restricted cash plus a percentage of the value of certain accounts receivable, inventory and equipment, reduced for certain reserves.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the extent that cash on hand, cash flow from operations, and borrowing availability under the Credit Agreement are insufficient to make future investments,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or respond to competitive challenges.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Credit Agreement imposes restrictions that may limit business alternatives.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Credit Agreement prohibits or limits us from making acquisitions, repurchasing equity, incurring additional debt, acquiring or disposing of assets, or making other distributions, including cash dividends. In addition, our Credit Agreement requires that we comply with a Fixed Charge Coverage Ratio financial covenant under certain conditions. These covenants and restrictions may impact our ability to effectively execute operating and strategic plans and our operating performance may not be sufficient to comply with the required covenants.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failure to comply with one or more of the covenants in our Credit Agreement could result in an event of default. We can provide no assurance that a default could be remedied, or that our creditors would grant a waiver or further amend the terms of the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Accounting Risks</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0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Revenue for fixed-price contracts is recognized using the percentage-of-completion method of accounting. Under percentage-of-completion accounting, contract revenue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estimates of costs to complete fixed-price contracts indicate a loss, a provision is made to accrue the total loss anticipated in the period the loss is determined. Contract profit estimates are also adjusted, on a percentage of completion basis, in the fiscal period in which it is determined that an adjustment is required. No restatements are made to prior periods. Further, many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the requirements of the percentage-of-completion method of accounting, the possibility exists that we could have estimated and reported a profit on a contract over several prior periods and later determine, as a result of additional information, that all or a portion of such previously estimated and reported profits were overstated. If this occurs, the full aggregate amount of the overstatement will be recognized in the period in which such change in estimate occurs.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Actual results could differ from the estimates and assumptions that we use to prepare our financial statements.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prepare financial statements in conformity with generally accepted accounting principles, management is required to make estimates and assumptions, as of the date of the financial statements, which affect the reported values of assets, liabilities, revenue and expenses and disclosures of contingent assets and liabilities. Areas requiring significant estimation by our management include:</w:t>
      </w:r>
    </w:p>
    <w:p>
      <w:pPr>
        <w:spacing w:after="0" w:line="198" w:lineRule="exact"/>
        <w:rPr>
          <w:sz w:val="20"/>
          <w:szCs w:val="20"/>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contract costs and application of percentage-of-completion accounting;</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provisions for uncollectable receivables from customers for invoiced amounts;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and collectability of unpriced change orders and claims against customers;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provisions for income taxes and related valuation allowances;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recoverability of goodwill and intangible assets;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valuation of assets acquired and liabilities assumed in connection with business combinations;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accruals for estimated liabilities, including litigation and insurance reserves.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Our actual results could materially differ from these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for future periods may be affected by impairment charges.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we have grown in part through acquisitions, goodwill and other acquired intangible assets represent a substantial portion of our assets. We perform annual goodwill impairment reviews in the fourth quarter of every fiscal year. In addition, we perform an impairment review whenever events or changes in circumstances indicate the carrying value of goodwill or an intangible or fixed asset may not be recoverable. As of June 30, 2022, we had $4.8 million of amortizing intangible assets and $42.1 million of non-amortizing goodwill representing 1.1% and 9.6% of our total assets,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Legal, Insurance, Regulatory and Compliance Risks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124"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8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Employee, subcontractor or partner misconduct or our overall failure to comply with laws or regulations could harm our reputation, damage our relationships with customers, reduce our revenue and profits, and subject us to criminal and civil enforcement actions.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failure to comply with applicable laws or regulations or acts of misconduct could subject us to fines and penalties, harm our reputation, damage our relationships with customers, reduce our revenue and profits and subject us to criminal and civil enforcement actions.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factors and changes in laws and regulations could increase our costs and liabilities.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or that the costs to comply with these laws and regulations and/or a failure to comply with these laws will not significantly adversely affect our business,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Climate change legislation or regulations restricting emissions of “greenhouse gases” could result in reduced demand for our services and products.</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has been an increased focus in the last several years on climate change in response to findings that emissions of carbon dioxide, methane and other greenhouse gases present an endangerment to public health and the environment. As a result, there have been a variety of regulatory developments, proposals or requirements and legislative initiatives as well as pressure from institutional investors to restrict the emission of greenhouse gases. The growing imperative on customers for whom we provide services to limit greenhouse gas emissions could affect demand for our products and services. Further, scientists have concluded that increasing greenhouse gas concentrations in the atmosphere may produce physical effects, such as increased severity and frequency of storms, droughts, floods and other climate events. Such climate events have the potential to adversely affect our operations or those of our customers, which in turn could have a negative effect on us.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violations of the U.S. Foreign Corrupt Practices Act and similar worldwide anti-bribery laws.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customs and practices. We train our personnel concerning anti-bribery laws and issues, and we also inform our customers, vendors,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political and other risks associated with international operations could adversely affect our business.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portion of our operations are conducted outside the United States, and accordingly, our business is subject to risks associated with doing business internationally, including changes in foreign currency exchange rates, instability in political or economic conditions, difficulty in repatriating cash proceeds, differing employee relations, differing regulatory environments, trade protection measures, and difficulty in administering and enforcing corporate policies which may be different than the normal business practices of local cultures.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 Factors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future acquisitions may result in significant transaction expenses, unexpected liabilities and other risks in addition to the integration and consolidation risks. 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may also not be able to successfully complete our ongoing integration of the operations, personnel and technology from our acquisitions. Because of their size and complexity, if we fail to complete our integration efforts successfully, we may experience interruptions in our business activities, a decrease in the quality of our services, a deterioration in our employee and customer relationships, and harm to our reputation, all of which could have a material adverse effect on our business, financial condition and results of operations. Our integration activities have required significant attention from management, which potentially decreases the time that management may devote to serve existing customers, attract new customers and develop new services and strategies. We may also experience difficulties in combining corporate cultures, maintaining employee morale and retaining key employees. The integration efforts may also impose substantial demands on our operations or other projects. We will have to actively strive to demonstrate to our existing customers that these integrations have not resulted in adverse changes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our standards or business focus. Our acquisitions have involved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acquired companies could adversely affect our operations, financial results and liquidity.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growth opportunities, operating margins and synergies that are anticipated from acquisitions.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benefits we expect to achieve as a result of an acquisition will depend, in part, on our ability to realize the anticipated growth opportunities, operating margins and synergies. Our success in realizing these growth opportunities, operating margins and synergies, and the timing of this realization, depends on the successful integration of the acquired business and operations with our existing business and operations. Even if we are able to integrate existing and acquired businesses successfully, this integration may not result in the realization of the full benefits of the growth opportunities, operating margins and synergies we currently expect within the anticipated time frame or at all. Accordingly, the benefits from an acquisition may be offset by costs incurred or delays in integrating the companies, which could cause our revenue assumptions and operating margin to be inaccurate.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in each of our business segments, which may have a material adverse effect on our business.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face competition in all areas of our business from regional, national and international competitors. Our competitors range from small, family-owned businesses to well-established, well-financed entities, both privately and publicly held, including many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127"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change significantly in response to various factors and events beyond our control, including the following:</w:t>
      </w:r>
    </w:p>
    <w:p>
      <w:pPr>
        <w:spacing w:after="0" w:line="172" w:lineRule="exact"/>
        <w:rPr>
          <w:sz w:val="20"/>
          <w:szCs w:val="20"/>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risk factors described in this Item 1A;</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conditions in our customers’ industries;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conditions in the security markets;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significant concentration of ownership of our common stock in the hands of a small number of institutional investors;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shortfall in operating revenue or net income from that expected by securities analysts and investors;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securities analysts’ estimates of our financial performance or the financial performance of our competitors or companies in our industry.</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may depress our stock price.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equity securities, which could lead to dilution of our issued and outstanding stock.</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issuance of additional common stock, restricted stock units or securities convertible into our common stock could result in dilution of the ownership interest held by existing stockholders. We are authorized to issue, without stockholder approval 5,000,000 shares of preferred stock, par value $0.01 per share, in one or more series, which may give other stockholders dividend, conversion, voting, and liquidation rights, among other rights, which may be superior to the rights of holders of our common stock. In addition, we are authorized to issue, without stockholder approval, a significant number of additional shares of our common stock and securities convertible into either common stock or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activists could cause a disruption to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An activist investor may indicate disagreement with our strategic direction or capital allocation policies and may seek representation on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Our business, operating results or financial condition could be adversely affected and may result in, among other things:</w:t>
      </w:r>
    </w:p>
    <w:p>
      <w:pPr>
        <w:spacing w:after="0" w:line="238" w:lineRule="exact"/>
        <w:rPr>
          <w:sz w:val="20"/>
          <w:szCs w:val="20"/>
          <w:color w:val="auto"/>
        </w:rPr>
      </w:pPr>
    </w:p>
    <w:p>
      <w:pPr>
        <w:ind w:left="640" w:hanging="320"/>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operating costs, including increased legal expenses, insurance, administrative expenses and associated costs incurred in connection with director election contests;</w:t>
      </w:r>
    </w:p>
    <w:p>
      <w:pPr>
        <w:spacing w:after="0" w:line="93"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uncertainties as to our future direction, which could result in the loss of potential business opportunities and could make it more difficult to attract, retain, or motivate qualified personnel, and strain relationships with investors and customers; and</w:t>
      </w:r>
    </w:p>
    <w:p>
      <w:pPr>
        <w:spacing w:after="0" w:line="7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reduction or delay in our ability to effectively execute our current business strategy and to implement new strategies.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Our principal properties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3320" w:type="dxa"/>
            <w:vAlign w:val="bottom"/>
            <w:gridSpan w:val="2"/>
          </w:tcPr>
          <w:p>
            <w:pPr>
              <w:ind w:left="800"/>
              <w:spacing w:after="0"/>
              <w:rPr>
                <w:sz w:val="20"/>
                <w:szCs w:val="20"/>
                <w:color w:val="auto"/>
              </w:rPr>
            </w:pPr>
            <w:r>
              <w:rPr>
                <w:rFonts w:ascii="Arial" w:cs="Arial" w:eastAsia="Arial" w:hAnsi="Arial"/>
                <w:sz w:val="14"/>
                <w:szCs w:val="14"/>
                <w:b w:val="1"/>
                <w:bCs w:val="1"/>
                <w:color w:val="auto"/>
              </w:rPr>
              <w:t>Description of Facility</w:t>
            </w:r>
          </w:p>
        </w:tc>
        <w:tc>
          <w:tcPr>
            <w:tcW w:w="2620" w:type="dxa"/>
            <w:vAlign w:val="bottom"/>
            <w:gridSpan w:val="2"/>
          </w:tcPr>
          <w:p>
            <w:pPr>
              <w:ind w:left="860"/>
              <w:spacing w:after="0"/>
              <w:rPr>
                <w:sz w:val="20"/>
                <w:szCs w:val="20"/>
                <w:color w:val="auto"/>
              </w:rPr>
            </w:pPr>
            <w:r>
              <w:rPr>
                <w:rFonts w:ascii="Arial" w:cs="Arial" w:eastAsia="Arial" w:hAnsi="Arial"/>
                <w:sz w:val="14"/>
                <w:szCs w:val="14"/>
                <w:b w:val="1"/>
                <w:bCs w:val="1"/>
                <w:color w:val="auto"/>
              </w:rPr>
              <w:t>Segment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r>
      <w:tr>
        <w:trPr>
          <w:trHeight w:val="24"/>
        </w:trPr>
        <w:tc>
          <w:tcPr>
            <w:tcW w:w="3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United States:</w:t>
            </w:r>
          </w:p>
        </w:tc>
        <w:tc>
          <w:tcPr>
            <w:tcW w:w="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Tulsa, Oklahoma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headquarters and 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Bellingham, Washington</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fabrication facility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86"/>
              </w:rPr>
              <w:t>Owned</w:t>
            </w: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Broomall, Pennsylvania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Catoosa, Oklahoma</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Fabrication facility, regional offices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All segments</w:t>
            </w:r>
          </w:p>
        </w:tc>
        <w:tc>
          <w:tcPr>
            <w:tcW w:w="1180" w:type="dxa"/>
            <w:vAlign w:val="bottom"/>
          </w:tcPr>
          <w:p>
            <w:pPr>
              <w:ind w:left="380"/>
              <w:spacing w:after="0" w:line="161" w:lineRule="exact"/>
              <w:rPr>
                <w:sz w:val="20"/>
                <w:szCs w:val="20"/>
                <w:color w:val="auto"/>
              </w:rPr>
            </w:pPr>
            <w:r>
              <w:rPr>
                <w:rFonts w:ascii="Arial" w:cs="Arial" w:eastAsia="Arial" w:hAnsi="Arial"/>
                <w:sz w:val="16"/>
                <w:szCs w:val="16"/>
                <w:color w:val="auto"/>
              </w:rPr>
              <w:t>Leased &amp;</w:t>
            </w:r>
          </w:p>
        </w:tc>
      </w:tr>
      <w:tr>
        <w:trPr>
          <w:trHeight w:val="207"/>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warehouses</w:t>
            </w:r>
          </w:p>
        </w:tc>
        <w:tc>
          <w:tcPr>
            <w:tcW w:w="2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center"/>
              <w:spacing w:after="0" w:line="207" w:lineRule="exact"/>
              <w:rPr>
                <w:sz w:val="20"/>
                <w:szCs w:val="20"/>
                <w:color w:val="auto"/>
              </w:rPr>
            </w:pPr>
            <w:r>
              <w:rPr>
                <w:rFonts w:ascii="Arial" w:cs="Arial" w:eastAsia="Arial" w:hAnsi="Arial"/>
                <w:sz w:val="16"/>
                <w:szCs w:val="16"/>
                <w:color w:val="auto"/>
                <w:w w:val="83"/>
              </w:rPr>
              <w:t xml:space="preserve">Owned </w:t>
            </w:r>
            <w:r>
              <w:rPr>
                <w:rFonts w:ascii="Arial" w:cs="Arial" w:eastAsia="Arial" w:hAnsi="Arial"/>
                <w:sz w:val="20"/>
                <w:szCs w:val="20"/>
                <w:color w:val="auto"/>
                <w:w w:val="83"/>
                <w:vertAlign w:val="superscript"/>
              </w:rPr>
              <w:t>(1)</w:t>
            </w:r>
          </w:p>
        </w:tc>
      </w:tr>
      <w:tr>
        <w:trPr>
          <w:trHeight w:val="210"/>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Columbus, Ohio</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20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Houston, Texas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Regional offices and 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Leased &amp; Owned</w:t>
            </w:r>
          </w:p>
        </w:tc>
      </w:tr>
      <w:tr>
        <w:trPr>
          <w:trHeight w:val="164"/>
        </w:trPr>
        <w:tc>
          <w:tcPr>
            <w:tcW w:w="338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Norco, California</w:t>
            </w:r>
          </w:p>
        </w:tc>
        <w:tc>
          <w:tcPr>
            <w:tcW w:w="33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Process and Industrial Facilities,</w:t>
            </w:r>
          </w:p>
        </w:tc>
        <w:tc>
          <w:tcPr>
            <w:tcW w:w="1180" w:type="dxa"/>
            <w:vAlign w:val="bottom"/>
            <w:shd w:val="clear" w:color="auto" w:fill="CCEEFF"/>
          </w:tcPr>
          <w:p>
            <w:pPr>
              <w:jc w:val="center"/>
              <w:spacing w:after="0" w:line="164" w:lineRule="exact"/>
              <w:rPr>
                <w:sz w:val="20"/>
                <w:szCs w:val="20"/>
                <w:color w:val="auto"/>
              </w:rPr>
            </w:pPr>
            <w:r>
              <w:rPr>
                <w:rFonts w:ascii="Arial" w:cs="Arial" w:eastAsia="Arial" w:hAnsi="Arial"/>
                <w:sz w:val="16"/>
                <w:szCs w:val="16"/>
                <w:color w:val="auto"/>
                <w:w w:val="83"/>
              </w:rPr>
              <w:t>Leased</w:t>
            </w:r>
          </w:p>
        </w:tc>
      </w:tr>
      <w:tr>
        <w:trPr>
          <w:trHeight w:val="207"/>
        </w:trPr>
        <w:tc>
          <w:tcPr>
            <w:tcW w:w="3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shd w:val="clear" w:color="auto" w:fill="CCEEFF"/>
          </w:tcPr>
          <w:p>
            <w:pPr>
              <w:spacing w:after="0"/>
              <w:rPr>
                <w:sz w:val="17"/>
                <w:szCs w:val="17"/>
                <w:color w:val="auto"/>
              </w:rPr>
            </w:pP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Orange, California</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and fabrication and</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83"/>
              </w:rPr>
              <w:t>Leased</w:t>
            </w: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warehouse facility</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Pittsburgh, Pennsylvania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Somerset, New Jersey</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Utility and Power Infrastructure,</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83"/>
              </w:rPr>
              <w:t>Leased</w:t>
            </w: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Process and Industrial Facilities</w:t>
            </w: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Temperance, Michigan</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Owned</w:t>
            </w:r>
          </w:p>
        </w:tc>
      </w:tr>
      <w:tr>
        <w:trPr>
          <w:trHeight w:val="161"/>
        </w:trPr>
        <w:tc>
          <w:tcPr>
            <w:tcW w:w="33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Tucson, Arizona</w:t>
            </w:r>
          </w:p>
        </w:tc>
        <w:tc>
          <w:tcPr>
            <w:tcW w:w="33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Process and Industrial Facilities,</w:t>
            </w:r>
          </w:p>
        </w:tc>
        <w:tc>
          <w:tcPr>
            <w:tcW w:w="1180" w:type="dxa"/>
            <w:vAlign w:val="bottom"/>
          </w:tcPr>
          <w:p>
            <w:pPr>
              <w:jc w:val="center"/>
              <w:spacing w:after="0" w:line="161" w:lineRule="exact"/>
              <w:rPr>
                <w:sz w:val="20"/>
                <w:szCs w:val="20"/>
                <w:color w:val="auto"/>
              </w:rPr>
            </w:pPr>
            <w:r>
              <w:rPr>
                <w:rFonts w:ascii="Arial" w:cs="Arial" w:eastAsia="Arial" w:hAnsi="Arial"/>
                <w:sz w:val="16"/>
                <w:szCs w:val="16"/>
                <w:color w:val="auto"/>
                <w:w w:val="83"/>
              </w:rPr>
              <w:t>Leased</w:t>
            </w:r>
          </w:p>
        </w:tc>
      </w:t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spacing w:after="0"/>
              <w:rPr>
                <w:sz w:val="17"/>
                <w:szCs w:val="17"/>
                <w:color w:val="auto"/>
              </w:rPr>
            </w:pP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International:</w:t>
            </w:r>
          </w:p>
        </w:tc>
        <w:tc>
          <w:tcPr>
            <w:tcW w:w="2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Burlington, Ontario, Canada</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All segments</w:t>
            </w:r>
          </w:p>
        </w:tc>
        <w:tc>
          <w:tcPr>
            <w:tcW w:w="1180" w:type="dxa"/>
            <w:vAlign w:val="bottom"/>
          </w:tcPr>
          <w:p>
            <w:pPr>
              <w:jc w:val="center"/>
              <w:spacing w:after="0"/>
              <w:rPr>
                <w:sz w:val="20"/>
                <w:szCs w:val="20"/>
                <w:color w:val="auto"/>
              </w:rPr>
            </w:pPr>
            <w:r>
              <w:rPr>
                <w:rFonts w:ascii="Arial" w:cs="Arial" w:eastAsia="Arial" w:hAnsi="Arial"/>
                <w:sz w:val="16"/>
                <w:szCs w:val="16"/>
                <w:color w:val="auto"/>
                <w:w w:val="86"/>
              </w:rPr>
              <w:t>Owned</w:t>
            </w: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Leduc, Alberta, Canada</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Leased</w:t>
            </w:r>
          </w:p>
        </w:tc>
      </w:tr>
      <w:tr>
        <w:trPr>
          <w:trHeight w:val="207"/>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Sarnia, Ontario, Canada</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jc w:val="center"/>
              <w:spacing w:after="0"/>
              <w:rPr>
                <w:sz w:val="20"/>
                <w:szCs w:val="20"/>
                <w:color w:val="auto"/>
              </w:rPr>
            </w:pPr>
            <w:r>
              <w:rPr>
                <w:rFonts w:ascii="Arial" w:cs="Arial" w:eastAsia="Arial" w:hAnsi="Arial"/>
                <w:sz w:val="16"/>
                <w:szCs w:val="16"/>
                <w:color w:val="auto"/>
                <w:w w:val="86"/>
              </w:rPr>
              <w:t>Owned</w:t>
            </w:r>
          </w:p>
        </w:tc>
      </w:tr>
      <w:tr>
        <w:trPr>
          <w:trHeight w:val="164"/>
        </w:trPr>
        <w:tc>
          <w:tcPr>
            <w:tcW w:w="338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Paju-si, Gyeonggi-do, South Korea</w:t>
            </w:r>
          </w:p>
        </w:tc>
        <w:tc>
          <w:tcPr>
            <w:tcW w:w="33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Fabrication facility, regional office and</w:t>
            </w:r>
          </w:p>
        </w:tc>
        <w:tc>
          <w:tcPr>
            <w:tcW w:w="26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Storage and Terminal Solutions</w:t>
            </w:r>
          </w:p>
        </w:tc>
        <w:tc>
          <w:tcPr>
            <w:tcW w:w="1180" w:type="dxa"/>
            <w:vAlign w:val="bottom"/>
            <w:shd w:val="clear" w:color="auto" w:fill="CCEEFF"/>
          </w:tcPr>
          <w:p>
            <w:pPr>
              <w:jc w:val="center"/>
              <w:spacing w:after="0" w:line="164" w:lineRule="exact"/>
              <w:rPr>
                <w:sz w:val="20"/>
                <w:szCs w:val="20"/>
                <w:color w:val="auto"/>
              </w:rPr>
            </w:pPr>
            <w:r>
              <w:rPr>
                <w:rFonts w:ascii="Arial" w:cs="Arial" w:eastAsia="Arial" w:hAnsi="Arial"/>
                <w:sz w:val="16"/>
                <w:szCs w:val="16"/>
                <w:color w:val="auto"/>
                <w:w w:val="86"/>
              </w:rPr>
              <w:t>Owned</w:t>
            </w:r>
          </w:p>
        </w:tc>
      </w:tr>
      <w:tr>
        <w:trPr>
          <w:trHeight w:val="207"/>
        </w:trPr>
        <w:tc>
          <w:tcPr>
            <w:tcW w:w="3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warehouse</w:t>
            </w:r>
          </w:p>
        </w:tc>
        <w:tc>
          <w:tcPr>
            <w:tcW w:w="2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Sydney, New South Wales, Australia</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Storage and Terminal Solutions</w:t>
            </w:r>
          </w:p>
        </w:tc>
        <w:tc>
          <w:tcPr>
            <w:tcW w:w="1180" w:type="dxa"/>
            <w:vAlign w:val="bottom"/>
          </w:tcPr>
          <w:p>
            <w:pPr>
              <w:jc w:val="center"/>
              <w:spacing w:after="0"/>
              <w:rPr>
                <w:sz w:val="20"/>
                <w:szCs w:val="20"/>
                <w:color w:val="auto"/>
              </w:rPr>
            </w:pPr>
            <w:r>
              <w:rPr>
                <w:rFonts w:ascii="Arial" w:cs="Arial" w:eastAsia="Arial" w:hAnsi="Arial"/>
                <w:sz w:val="16"/>
                <w:szCs w:val="16"/>
                <w:color w:val="auto"/>
                <w:w w:val="83"/>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99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309" w:lineRule="exact"/>
        <w:rPr>
          <w:sz w:val="20"/>
          <w:szCs w:val="20"/>
          <w:color w:val="auto"/>
        </w:rPr>
      </w:pPr>
    </w:p>
    <w:p>
      <w:pPr>
        <w:ind w:left="540" w:hanging="299"/>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constructed certain facilities on land acquired through ground leases with renewal options.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In addition to the locations listed above, we have smaller regional locations and temporary office facilities at numerous customer locations throughout the United States and Canada.</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Information concerning mine safety violations or other regulatory matters required to be disclosed in this annual report under Section 1503(a) of the Dodd-Frank Act and Item 104 of Regulation S-K is included in Exhibit 95 to this Annual Report on Form 10-K.</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PART II</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7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Our common stock trades on the NASDAQ Global Select Market under the trading symbol "MTRX". Substantially all of our stockholders maintain their shares in "street name" accounts and are not individually stockholders of record. As of September 30, 2022, there were 19 holders of record of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never paid cash dividends on our common stock and the terms of our Credit Agreement limit dividends to stock dividends only (see Item 8. Financial Statements and Supplementary Data, Note 5 - Debt for more information about our Credit Agreement). Any future dividend payments will depend on the terms of our Credit Agreement, our financial condition, capital requirements and earnings as well as other relevant factors.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fiscal 2022 and have no current plans to repurchase stock. As of June 30, 2022, there were 1,349,037 shares available for purchase under the Stock Buyback Program. The terms of our Credit Agreement limit share repurchases to $2.5 million per fiscal year provided that that we meet certain availability thresholds and do not violate our Fixed Charge Coverage Ratio financial covenant.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graph compares, for the period from June 30, 2017 to June 30, 2022, the cumulative stockholder return on our common stock with the cumulative total return of the NASDAQ Composite Index and the Dow Jones U.S. Heavy Construction Index.</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graph below assumes an investment of $100 (with reinvestment of all dividends) in our common stock, the NASDAQ Composite Index, and the Dow Jones U.S. Heavy Construction Index on June 30, 2017 and tracks their relative performance through June 30, 2022. The stock price performance reflected in the following graph is not necessarily indicative of future stock performance.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458470</wp:posOffset>
            </wp:positionV>
            <wp:extent cx="5695950" cy="4729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5950" cy="472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36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Matrix Service Company</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54.12</w:t>
            </w: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NASDAQ Composite</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123.60</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133.22</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169.11</w:t>
            </w:r>
          </w:p>
        </w:tc>
        <w:tc>
          <w:tcPr>
            <w:tcW w:w="8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245.60</w:t>
            </w:r>
          </w:p>
        </w:tc>
        <w:tc>
          <w:tcPr>
            <w:tcW w:w="8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188.07</w:t>
            </w: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Dow Jones US Heavy Construction</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190.51</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 and expenses during the reporting period. We base our estimates on historical experience and various other assumptions that are believed to be reasonable under the circumstances. Actual results could differ from these estimates under different assumptions or conditions. Note 1 - 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We operate our business through three reportable segments:</w:t>
      </w:r>
    </w:p>
    <w:p>
      <w:pPr>
        <w:spacing w:after="0" w:line="166" w:lineRule="exact"/>
        <w:rPr>
          <w:sz w:val="20"/>
          <w:szCs w:val="20"/>
          <w:color w:val="auto"/>
        </w:rPr>
      </w:pPr>
    </w:p>
    <w:p>
      <w:pPr>
        <w:jc w:val="both"/>
        <w:ind w:left="640" w:hanging="320"/>
        <w:spacing w:after="0" w:line="292" w:lineRule="auto"/>
        <w:tabs>
          <w:tab w:leader="none" w:pos="635"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Utility and Power Infrastructure</w:t>
      </w:r>
      <w:r>
        <w:rPr>
          <w:rFonts w:ascii="Arial" w:cs="Arial" w:eastAsia="Arial" w:hAnsi="Arial"/>
          <w:sz w:val="16"/>
          <w:szCs w:val="16"/>
          <w:color w:val="auto"/>
        </w:rPr>
        <w:t>: consists of power delivery services provided to investor-owned utilities, including construction of new substations,</w:t>
      </w:r>
      <w:r>
        <w:rPr>
          <w:rFonts w:ascii="Arial" w:cs="Arial" w:eastAsia="Arial" w:hAnsi="Arial"/>
          <w:sz w:val="16"/>
          <w:szCs w:val="16"/>
          <w:b w:val="1"/>
          <w:bCs w:val="1"/>
          <w:color w:val="auto"/>
        </w:rPr>
        <w:t xml:space="preserve"> </w:t>
      </w:r>
      <w:r>
        <w:rPr>
          <w:rFonts w:ascii="Arial" w:cs="Arial" w:eastAsia="Arial" w:hAnsi="Arial"/>
          <w:sz w:val="16"/>
          <w:szCs w:val="16"/>
          <w:color w:val="auto"/>
        </w:rPr>
        <w:t>upgrades of existing substations, transmission and distribution line installations, upgrades and maintenance, as well as emergency and storm restoration services. We also provide engineering, fabrication, and construction services for LNG utility peak shaving facilities, and construction and maintenance services to a variety of power generation facilities, including natural gas fired facilities, in simple or combined cycle configuration.</w:t>
      </w:r>
    </w:p>
    <w:p>
      <w:pPr>
        <w:spacing w:after="0" w:line="101" w:lineRule="exact"/>
        <w:rPr>
          <w:rFonts w:ascii="Arial" w:cs="Arial" w:eastAsia="Arial" w:hAnsi="Arial"/>
          <w:sz w:val="16"/>
          <w:szCs w:val="16"/>
          <w:color w:val="auto"/>
        </w:rPr>
      </w:pPr>
    </w:p>
    <w:p>
      <w:pPr>
        <w:jc w:val="both"/>
        <w:ind w:left="640" w:hanging="320"/>
        <w:spacing w:after="0" w:line="267"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Process and Industrial Facilities</w:t>
      </w:r>
      <w:r>
        <w:rPr>
          <w:rFonts w:ascii="Arial" w:cs="Arial" w:eastAsia="Arial" w:hAnsi="Arial"/>
          <w:sz w:val="17"/>
          <w:szCs w:val="17"/>
          <w:color w:val="auto"/>
        </w:rPr>
        <w:t>: primarily serves customers in the downstream and midstream petroleum industries who are engaged in refining</w:t>
      </w:r>
      <w:r>
        <w:rPr>
          <w:rFonts w:ascii="Arial" w:cs="Arial" w:eastAsia="Arial" w:hAnsi="Arial"/>
          <w:sz w:val="17"/>
          <w:szCs w:val="17"/>
          <w:b w:val="1"/>
          <w:bCs w:val="1"/>
          <w:color w:val="auto"/>
        </w:rPr>
        <w:t xml:space="preserve"> </w:t>
      </w:r>
      <w:r>
        <w:rPr>
          <w:rFonts w:ascii="Arial" w:cs="Arial" w:eastAsia="Arial" w:hAnsi="Arial"/>
          <w:sz w:val="17"/>
          <w:szCs w:val="17"/>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19" w:lineRule="exact"/>
        <w:rPr>
          <w:rFonts w:ascii="Arial" w:cs="Arial" w:eastAsia="Arial" w:hAnsi="Arial"/>
          <w:sz w:val="17"/>
          <w:szCs w:val="17"/>
          <w:color w:val="auto"/>
        </w:rPr>
      </w:pPr>
    </w:p>
    <w:p>
      <w:pPr>
        <w:jc w:val="both"/>
        <w:ind w:left="640" w:hanging="320"/>
        <w:spacing w:after="0" w:line="265"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storage tanks and terminals. We also include work related to cryogenic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specialty storage tanks and terminals, including LNG, liquid nitrogen/liquid oxygen, liquid petroleum, hydrogen and other specialty vessels such as spheres in this segment, as well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the work for all segments is performed in the United States, with 9.5% of revenue generated internationally during fiscal 2022, 10.2% in fiscal 2021 and 7.3% in fiscal 2020. The percentage of revenue generated internationally decreased in fiscal 2022 compared to fiscal 2021 primarily due to higher levels of revenue generated domestically.</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Significant period to period changes in revenue, gross profits and operating results between fiscal 2022 and fiscal 2021 are discussed below on a consolidated basis for each segment. A discussion of results of operations changes between fiscal 2021 and fiscal 2020 is included in Item 7. Management's Discussion and Analysis of Financial Condition and Results of Operations of our Annual Report on Form 10-K for the year ended June 30, 2021, which was filed with the SEC on September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Utility and Power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Process and</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Storage and</w:t>
            </w:r>
          </w:p>
        </w:tc>
        <w:tc>
          <w:tcPr>
            <w:tcW w:w="24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Infrastructure</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Industrial Facilities</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Terminal Solutions</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2022</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220,093</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254,848</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232,839</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707,780</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(loss)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(8,586)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Gross profit (loss)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11,771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12,506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17,284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26,129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67,690</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Goodwill impairment and restructuring costs</w:t>
            </w:r>
          </w:p>
        </w:tc>
        <w:tc>
          <w:tcPr>
            <w:tcW w:w="12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2,746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6,867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7,330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18,958</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(23,103)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(10,103)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(24,352)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(30,296)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(87,854)</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Operating loss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2021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210,052</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199,917</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263,429</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673,398</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13,617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32,765</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Gross profit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9,882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14,756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18,644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26,474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69,756</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Restructuring costs</w:t>
            </w:r>
          </w:p>
        </w:tc>
        <w:tc>
          <w:tcPr>
            <w:tcW w:w="12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1,312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3,807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6,756</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(9,688)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(6,418)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(26,720)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(43,747)</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Operating loss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700"/>
              <w:spacing w:after="0"/>
              <w:rPr>
                <w:sz w:val="20"/>
                <w:szCs w:val="20"/>
                <w:color w:val="auto"/>
              </w:rPr>
            </w:pPr>
            <w:r>
              <w:rPr>
                <w:rFonts w:ascii="Arial" w:cs="Arial" w:eastAsia="Arial" w:hAnsi="Arial"/>
                <w:sz w:val="17"/>
                <w:szCs w:val="17"/>
                <w:color w:val="auto"/>
              </w:rPr>
              <w:t>—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b w:val="1"/>
                <w:bCs w:val="1"/>
                <w:color w:val="auto"/>
              </w:rPr>
              <w:t>Variances Fiscal Year 2022 to Fiscal Year 2021</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Increase/(Decrease)</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10,041</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3"/>
              <w:spacing w:after="0"/>
              <w:rPr>
                <w:sz w:val="20"/>
                <w:szCs w:val="20"/>
                <w:color w:val="auto"/>
              </w:rPr>
            </w:pPr>
            <w:r>
              <w:rPr>
                <w:rFonts w:ascii="Arial" w:cs="Arial" w:eastAsia="Arial" w:hAnsi="Arial"/>
                <w:sz w:val="17"/>
                <w:szCs w:val="17"/>
                <w:color w:val="auto"/>
              </w:rPr>
              <w:t>54,931</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(30,590)</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34,382</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(loss)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(10,092)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(8,372)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(13,355)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(33,971)</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1,889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7"/>
                <w:szCs w:val="17"/>
                <w:color w:val="auto"/>
              </w:rPr>
              <w:t>(2,250)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(1,360)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(2,066)</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and restructuring costs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12,202</w:t>
            </w:r>
          </w:p>
        </w:tc>
        <w:tc>
          <w:tcPr>
            <w:tcW w:w="0" w:type="dxa"/>
            <w:vAlign w:val="bottom"/>
          </w:tcPr>
          <w:p>
            <w:pPr>
              <w:spacing w:after="0"/>
              <w:rPr>
                <w:sz w:val="1"/>
                <w:szCs w:val="1"/>
                <w:color w:val="auto"/>
              </w:rPr>
            </w:pPr>
          </w:p>
        </w:tc>
      </w:tr>
      <w:tr>
        <w:trPr>
          <w:trHeight w:val="222"/>
        </w:trPr>
        <w:tc>
          <w:tcPr>
            <w:tcW w:w="414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12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(13,415)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Arial" w:cs="Arial" w:eastAsia="Arial" w:hAnsi="Arial"/>
                <w:sz w:val="17"/>
                <w:szCs w:val="17"/>
                <w:color w:val="auto"/>
              </w:rPr>
              <w:t>(9,182)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7"/>
                <w:szCs w:val="17"/>
                <w:color w:val="auto"/>
              </w:rPr>
              <w:t>(17,934)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(3,576)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(44,107)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Operational Update</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Bidding activity, project award volumes, and revenue volumes all improved in fiscal 2022 as the economy recovered from the pandemic. However, delays in project starts on certain projects in our backlog as well as delays in awards of larger projects have negatively impacted our operating results. Therefore, we have not been able to generate enough revenue to fully recover construction overhead and SG&amp;A costs despite significant reductions in our cost structure. In addition, projects bid during a competitive environment and increased forecasted costs to complete certain projects have further pressured profitability during the fiscal year (see the discussion of our fiscal 2022 results, and Part II, Item 8-Financial Statements and Supplementary Data, Note 2 - Revenue - Revisions in Estimates, for more information). Based on improving market conditions and strong bidding activity, we are expecting project awards to increase into fiscal 2023, which we expect to lead to higher revenue volume, increased cost leverage, better margins, and improved earnings.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fiscal 2022, we commenced the second phase of our ongoing business improvement plan to focus on centralization of support functions, including business development, accounting, human resources, procurement and project services into shared service centers. Since the beginning of fiscal 2020, we estimate that we have reduced our cost structure by approximately $83 million, or approximately 30%, with approximately one-third of those reductions related to SG&amp;A and the rest related to construction overhead, which is included in cost of revenue in the Consolidated Statements of Income. See Part II. Item 8. Financial Statements and Supplementary Data, Note 14 - Restructuring Costs, for more information about our business improvement plan.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In order to more clearly depict our core profitability, the following tables present our operating results after certain adjustments: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Net Loss to Adjusted Net Income (Loss)</w:t>
      </w:r>
      <w:r>
        <w:rPr>
          <w:rFonts w:ascii="Arial" w:cs="Arial" w:eastAsia="Arial" w:hAnsi="Arial"/>
          <w:sz w:val="22"/>
          <w:szCs w:val="22"/>
          <w:b w:val="1"/>
          <w:bCs w:val="1"/>
          <w:color w:val="auto"/>
          <w:vertAlign w:val="superscript"/>
        </w:rPr>
        <w:t>(1)</w:t>
      </w: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Fiscal Years Ended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2021</w:t>
            </w:r>
          </w:p>
        </w:tc>
        <w:tc>
          <w:tcPr>
            <w:tcW w:w="160" w:type="dxa"/>
            <w:vAlign w:val="bottom"/>
          </w:tcPr>
          <w:p>
            <w:pPr>
              <w:spacing w:after="0"/>
              <w:rPr>
                <w:sz w:val="15"/>
                <w:szCs w:val="15"/>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June 30, 2020</w:t>
            </w:r>
          </w:p>
        </w:tc>
      </w:tr>
      <w:tr>
        <w:trPr>
          <w:trHeight w:val="223"/>
        </w:trPr>
        <w:tc>
          <w:tcPr>
            <w:tcW w:w="71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loss, as reported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(33,074)</w:t>
            </w:r>
          </w:p>
        </w:tc>
      </w:tr>
      <w:tr>
        <w:trPr>
          <w:trHeight w:val="223"/>
        </w:trPr>
        <w:tc>
          <w:tcPr>
            <w:tcW w:w="40" w:type="dxa"/>
            <w:vAlign w:val="bottom"/>
          </w:tcPr>
          <w:p>
            <w:pPr>
              <w:spacing w:after="0"/>
              <w:rPr>
                <w:sz w:val="19"/>
                <w:szCs w:val="19"/>
                <w:color w:val="auto"/>
              </w:rPr>
            </w:pPr>
          </w:p>
        </w:tc>
        <w:tc>
          <w:tcPr>
            <w:tcW w:w="7080" w:type="dxa"/>
            <w:vAlign w:val="bottom"/>
            <w:gridSpan w:val="2"/>
          </w:tcPr>
          <w:p>
            <w:pPr>
              <w:ind w:left="300"/>
              <w:spacing w:after="0"/>
              <w:rPr>
                <w:sz w:val="20"/>
                <w:szCs w:val="20"/>
                <w:color w:val="auto"/>
              </w:rPr>
            </w:pPr>
            <w:r>
              <w:rPr>
                <w:rFonts w:ascii="Arial" w:cs="Arial" w:eastAsia="Arial" w:hAnsi="Arial"/>
                <w:sz w:val="17"/>
                <w:szCs w:val="17"/>
                <w:color w:val="auto"/>
              </w:rPr>
              <w:t>Restructuring costs incurred</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14,010</w:t>
            </w:r>
          </w:p>
        </w:tc>
      </w:tr>
      <w:tr>
        <w:trPr>
          <w:trHeight w:val="223"/>
        </w:trPr>
        <w:tc>
          <w:tcPr>
            <w:tcW w:w="4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Goodwill and intangible asset impairments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38,515</w:t>
            </w:r>
          </w:p>
        </w:tc>
      </w:tr>
      <w:tr>
        <w:trPr>
          <w:trHeight w:val="223"/>
        </w:trPr>
        <w:tc>
          <w:tcPr>
            <w:tcW w:w="40" w:type="dxa"/>
            <w:vAlign w:val="bottom"/>
          </w:tcPr>
          <w:p>
            <w:pPr>
              <w:spacing w:after="0"/>
              <w:rPr>
                <w:sz w:val="19"/>
                <w:szCs w:val="19"/>
                <w:color w:val="auto"/>
              </w:rPr>
            </w:pPr>
          </w:p>
        </w:tc>
        <w:tc>
          <w:tcPr>
            <w:tcW w:w="7080" w:type="dxa"/>
            <w:vAlign w:val="bottom"/>
            <w:gridSpan w:val="2"/>
          </w:tcPr>
          <w:p>
            <w:pPr>
              <w:ind w:left="300"/>
              <w:spacing w:after="0" w:line="223" w:lineRule="exact"/>
              <w:rPr>
                <w:sz w:val="20"/>
                <w:szCs w:val="20"/>
                <w:color w:val="auto"/>
              </w:rPr>
            </w:pPr>
            <w:r>
              <w:rPr>
                <w:rFonts w:ascii="Arial" w:cs="Arial" w:eastAsia="Arial" w:hAnsi="Arial"/>
                <w:sz w:val="17"/>
                <w:szCs w:val="17"/>
                <w:color w:val="auto"/>
              </w:rPr>
              <w:t>Gain on sale of facilities</w:t>
            </w:r>
            <w:r>
              <w:rPr>
                <w:rFonts w:ascii="Arial" w:cs="Arial" w:eastAsia="Arial" w:hAnsi="Arial"/>
                <w:sz w:val="22"/>
                <w:szCs w:val="22"/>
                <w:b w:val="1"/>
                <w:bCs w:val="1"/>
                <w:color w:val="auto"/>
                <w:vertAlign w:val="superscript"/>
              </w:rPr>
              <w:t>(</w:t>
            </w:r>
            <w:r>
              <w:rPr>
                <w:rFonts w:ascii="Arial" w:cs="Arial" w:eastAsia="Arial" w:hAnsi="Arial"/>
                <w:sz w:val="22"/>
                <w:szCs w:val="22"/>
                <w:color w:val="auto"/>
                <w:vertAlign w:val="superscript"/>
              </w:rPr>
              <w:t>2</w:t>
            </w:r>
            <w:r>
              <w:rPr>
                <w:rFonts w:ascii="Arial" w:cs="Arial" w:eastAsia="Arial" w:hAnsi="Arial"/>
                <w:sz w:val="22"/>
                <w:szCs w:val="22"/>
                <w:b w:val="1"/>
                <w:bCs w:val="1"/>
                <w:color w:val="auto"/>
                <w:vertAlign w:val="superscript"/>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(32,392)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00"/>
              <w:spacing w:after="0" w:line="223" w:lineRule="exact"/>
              <w:rPr>
                <w:sz w:val="20"/>
                <w:szCs w:val="20"/>
                <w:color w:val="auto"/>
              </w:rPr>
            </w:pPr>
            <w:r>
              <w:rPr>
                <w:rFonts w:ascii="Arial" w:cs="Arial" w:eastAsia="Arial" w:hAnsi="Arial"/>
                <w:sz w:val="17"/>
                <w:szCs w:val="17"/>
                <w:color w:val="auto"/>
              </w:rPr>
              <w:t>Accelerated amortization of deferred debt amendment fees</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 w:type="dxa"/>
            <w:vAlign w:val="bottom"/>
          </w:tcPr>
          <w:p>
            <w:pPr>
              <w:spacing w:after="0"/>
              <w:rPr>
                <w:sz w:val="19"/>
                <w:szCs w:val="19"/>
                <w:color w:val="auto"/>
              </w:rPr>
            </w:pPr>
          </w:p>
        </w:tc>
        <w:tc>
          <w:tcPr>
            <w:tcW w:w="7080" w:type="dxa"/>
            <w:vAlign w:val="bottom"/>
            <w:gridSpan w:val="2"/>
          </w:tcPr>
          <w:p>
            <w:pPr>
              <w:ind w:left="300"/>
              <w:spacing w:after="0" w:line="223" w:lineRule="exact"/>
              <w:rPr>
                <w:sz w:val="20"/>
                <w:szCs w:val="20"/>
                <w:color w:val="auto"/>
              </w:rPr>
            </w:pPr>
            <w:r>
              <w:rPr>
                <w:rFonts w:ascii="Arial" w:cs="Arial" w:eastAsia="Arial" w:hAnsi="Arial"/>
                <w:sz w:val="17"/>
                <w:szCs w:val="17"/>
                <w:color w:val="auto"/>
              </w:rPr>
              <w:t>Deferred tax valuation allowance</w:t>
            </w:r>
            <w:r>
              <w:rPr>
                <w:rFonts w:ascii="Arial" w:cs="Arial" w:eastAsia="Arial" w:hAnsi="Arial"/>
                <w:sz w:val="22"/>
                <w:szCs w:val="22"/>
                <w:color w:val="auto"/>
                <w:vertAlign w:val="superscript"/>
              </w:rPr>
              <w:t>(4)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17,943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Tax impact of adjustments and other net tax items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(8,644)</w:t>
            </w:r>
          </w:p>
        </w:tc>
      </w:tr>
      <w:tr>
        <w:trPr>
          <w:trHeight w:val="216"/>
        </w:trPr>
        <w:tc>
          <w:tcPr>
            <w:tcW w:w="7120" w:type="dxa"/>
            <w:vAlign w:val="bottom"/>
            <w:gridSpan w:val="3"/>
          </w:tcPr>
          <w:p>
            <w:pPr>
              <w:ind w:left="20"/>
              <w:spacing w:after="0"/>
              <w:rPr>
                <w:sz w:val="20"/>
                <w:szCs w:val="20"/>
                <w:color w:val="auto"/>
              </w:rPr>
            </w:pPr>
            <w:r>
              <w:rPr>
                <w:rFonts w:ascii="Arial" w:cs="Arial" w:eastAsia="Arial" w:hAnsi="Arial"/>
                <w:sz w:val="17"/>
                <w:szCs w:val="17"/>
                <w:color w:val="auto"/>
              </w:rPr>
              <w:t>Adjusted 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(53,409)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(26,207)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10,807</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7120" w:type="dxa"/>
            <w:vAlign w:val="bottom"/>
            <w:gridSpan w:val="3"/>
          </w:tcPr>
          <w:p>
            <w:pPr>
              <w:ind w:left="20"/>
              <w:spacing w:after="0"/>
              <w:rPr>
                <w:sz w:val="20"/>
                <w:szCs w:val="20"/>
                <w:color w:val="auto"/>
              </w:rPr>
            </w:pPr>
            <w:r>
              <w:rPr>
                <w:rFonts w:ascii="Arial" w:cs="Arial" w:eastAsia="Arial" w:hAnsi="Arial"/>
                <w:sz w:val="17"/>
                <w:szCs w:val="17"/>
                <w:color w:val="auto"/>
              </w:rPr>
              <w:t>Loss per fully diluted share, as reported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0"/>
        </w:trPr>
        <w:tc>
          <w:tcPr>
            <w:tcW w:w="7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Adjusted earnings (loss) per fully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73" w:lineRule="exact"/>
        <w:rPr>
          <w:sz w:val="20"/>
          <w:szCs w:val="20"/>
          <w:color w:val="auto"/>
        </w:rPr>
      </w:pPr>
    </w:p>
    <w:p>
      <w:pPr>
        <w:jc w:val="both"/>
        <w:ind w:left="560" w:hanging="319"/>
        <w:spacing w:after="0" w:line="272" w:lineRule="auto"/>
        <w:tabs>
          <w:tab w:leader="none" w:pos="55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This table presents non-GAAP financial measures of our adjusted net income (loss) and adjusted earnings (loss) per fully diluted share for fiscal 2022, 2021 and 2020. The most directly comparable financial measures are net loss and loss per fully diluted share, respectively, presented in the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income (loss) and adjusted earnings (loss) per fully diluted share are not measures of performance calculated in accordance with GAAP, they should be considered in addition to, rather than as a substitute for, the most directly comparable GAAP financial measures.</w:t>
      </w:r>
    </w:p>
    <w:p>
      <w:pPr>
        <w:ind w:left="560" w:hanging="319"/>
        <w:spacing w:after="0" w:line="244" w:lineRule="auto"/>
        <w:tabs>
          <w:tab w:leader="none" w:pos="5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Gain on the sale-leaseback of our regional office and fabrication and warehouse facility located in Orange, California (see Part II. Item 8-Financial Statements and Supplementary Data, Note 3 - Property, Plant and Equipment - Sale-leaseback Transaction, for more information.)</w:t>
      </w:r>
    </w:p>
    <w:p>
      <w:pPr>
        <w:ind w:left="560" w:hanging="319"/>
        <w:spacing w:after="0" w:line="254" w:lineRule="auto"/>
        <w:tabs>
          <w:tab w:leader="none" w:pos="55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Interest expense in fiscal 2022 included $1.5 million of accelerated amortization of deferred debt amendment fees (see Part II. Item 8-Financial Statements and Supplementary Data, Note 5 - Debt, for more information).</w:t>
      </w:r>
    </w:p>
    <w:p>
      <w:pPr>
        <w:ind w:left="540" w:hanging="299"/>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Part II, Item 8-Financial Statements and Supplementary Data, Note 6 - Income Taxes, for more information about the deferred tax asset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Net Loss to Adjusted EBITDA</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presented Adjusted EBITDA, which we define as net loss before goodwill and other intangible asset impairments, restructuring costs, gain on sale of facilities, stock-based compensation, interest expense, income taxes, and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99" w:lineRule="exact"/>
        <w:rPr>
          <w:sz w:val="20"/>
          <w:szCs w:val="20"/>
          <w:color w:val="auto"/>
        </w:rPr>
      </w:pPr>
    </w:p>
    <w:p>
      <w:pPr>
        <w:ind w:left="640" w:right="100" w:hanging="320"/>
        <w:spacing w:after="0" w:line="26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does not include impairments to goodwill and other intangible assets.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202" w:lineRule="exact"/>
        <w:rPr>
          <w:rFonts w:ascii="Arial" w:cs="Arial" w:eastAsia="Arial" w:hAnsi="Arial"/>
          <w:sz w:val="17"/>
          <w:szCs w:val="17"/>
          <w:color w:val="auto"/>
        </w:rPr>
      </w:pPr>
    </w:p>
    <w:p>
      <w:pPr>
        <w:ind w:left="640" w:right="400" w:hanging="320"/>
        <w:spacing w:after="0" w:line="322" w:lineRule="auto"/>
        <w:tabs>
          <w:tab w:leader="none" w:pos="6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does not include gain on sale of facilities. While the sale occurred outside the normal course of business and similar sales are not expected to be recurring or sustainable, any measure that excludes this gain has inherent limitations since the sale resulted in a material inflow of cash.</w:t>
      </w:r>
    </w:p>
    <w:p>
      <w:pPr>
        <w:spacing w:after="0" w:line="161" w:lineRule="exact"/>
        <w:rPr>
          <w:rFonts w:ascii="Arial" w:cs="Arial" w:eastAsia="Arial" w:hAnsi="Arial"/>
          <w:sz w:val="16"/>
          <w:szCs w:val="16"/>
          <w:color w:val="auto"/>
        </w:rPr>
      </w:pPr>
    </w:p>
    <w:p>
      <w:pPr>
        <w:ind w:left="640" w:right="200" w:hanging="320"/>
        <w:spacing w:after="0" w:line="289"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does not include restructuring costs. Restructuring costs represent material costs that we incurred and are oftentimes cash expenses. Therefore, any measure that excludes restructuring costs has material limitations.</w:t>
      </w:r>
    </w:p>
    <w:p>
      <w:pPr>
        <w:spacing w:after="0" w:line="184" w:lineRule="exact"/>
        <w:rPr>
          <w:rFonts w:ascii="Arial" w:cs="Arial" w:eastAsia="Arial" w:hAnsi="Arial"/>
          <w:sz w:val="17"/>
          <w:szCs w:val="17"/>
          <w:color w:val="auto"/>
        </w:rPr>
      </w:pPr>
    </w:p>
    <w:p>
      <w:pPr>
        <w:ind w:left="640" w:right="60" w:hanging="320"/>
        <w:spacing w:after="0" w:line="26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202" w:lineRule="exact"/>
        <w:rPr>
          <w:rFonts w:ascii="Arial" w:cs="Arial" w:eastAsia="Arial" w:hAnsi="Arial"/>
          <w:sz w:val="17"/>
          <w:szCs w:val="17"/>
          <w:color w:val="auto"/>
        </w:rPr>
      </w:pPr>
    </w:p>
    <w:p>
      <w:pPr>
        <w:jc w:val="both"/>
        <w:ind w:left="640" w:right="160" w:hanging="320"/>
        <w:spacing w:after="0" w:line="26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and to acquire businesses, pay commitment fees to maintain our senior secured revolving credit facility, and incur fees to issue letters of credit under the senior secured revolving credit facility, interest expense is a necessary and ongoing part of our costs and has assisted us in generating revenue. Therefore, any measure that excludes interest expense has material limitations.</w:t>
      </w:r>
    </w:p>
    <w:p>
      <w:pPr>
        <w:spacing w:after="0" w:line="202" w:lineRule="exact"/>
        <w:rPr>
          <w:rFonts w:ascii="Arial" w:cs="Arial" w:eastAsia="Arial" w:hAnsi="Arial"/>
          <w:sz w:val="17"/>
          <w:szCs w:val="17"/>
          <w:color w:val="auto"/>
        </w:rPr>
      </w:pPr>
    </w:p>
    <w:p>
      <w:pPr>
        <w:ind w:left="640" w:right="240" w:hanging="320"/>
        <w:spacing w:after="0" w:line="289"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does not include income taxes. Because the payment of income taxes is a necessary and ongoing part of our operations, any measure that excludes income taxes has material limitations.</w:t>
      </w:r>
    </w:p>
    <w:p>
      <w:pPr>
        <w:spacing w:after="0" w:line="184" w:lineRule="exact"/>
        <w:rPr>
          <w:rFonts w:ascii="Arial" w:cs="Arial" w:eastAsia="Arial" w:hAnsi="Arial"/>
          <w:sz w:val="17"/>
          <w:szCs w:val="17"/>
          <w:color w:val="auto"/>
        </w:rPr>
      </w:pPr>
    </w:p>
    <w:p>
      <w:pPr>
        <w:ind w:left="640" w:right="460" w:hanging="320"/>
        <w:spacing w:after="0" w:line="273"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Fiscal Years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6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6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60"/>
              <w:spacing w:after="0" w:line="128"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28"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c>
          <w:tcPr>
            <w:tcW w:w="1060" w:type="dxa"/>
            <w:vAlign w:val="bottom"/>
          </w:tcPr>
          <w:p>
            <w:pPr>
              <w:jc w:val="right"/>
              <w:ind w:right="336"/>
              <w:spacing w:after="0" w:line="128" w:lineRule="exact"/>
              <w:rPr>
                <w:sz w:val="20"/>
                <w:szCs w:val="20"/>
                <w:color w:val="auto"/>
              </w:rPr>
            </w:pPr>
            <w:r>
              <w:rPr>
                <w:rFonts w:ascii="Arial" w:cs="Arial" w:eastAsia="Arial" w:hAnsi="Arial"/>
                <w:sz w:val="14"/>
                <w:szCs w:val="14"/>
                <w:b w:val="1"/>
                <w:bCs w:val="1"/>
                <w:color w:val="auto"/>
              </w:rPr>
              <w:t>June 30,</w:t>
            </w:r>
          </w:p>
        </w:tc>
      </w:tr>
      <w:tr>
        <w:trPr>
          <w:trHeight w:val="188"/>
        </w:trPr>
        <w:tc>
          <w:tcPr>
            <w:tcW w:w="6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188"/>
        </w:trPr>
        <w:tc>
          <w:tcPr>
            <w:tcW w:w="6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(33,074)</w:t>
            </w:r>
          </w:p>
        </w:tc>
      </w:tr>
      <w:tr>
        <w:trPr>
          <w:trHeight w:val="223"/>
        </w:trPr>
        <w:tc>
          <w:tcPr>
            <w:tcW w:w="6880" w:type="dxa"/>
            <w:vAlign w:val="bottom"/>
          </w:tcPr>
          <w:p>
            <w:pPr>
              <w:ind w:left="20"/>
              <w:spacing w:after="0"/>
              <w:rPr>
                <w:sz w:val="20"/>
                <w:szCs w:val="20"/>
                <w:color w:val="auto"/>
              </w:rPr>
            </w:pPr>
            <w:r>
              <w:rPr>
                <w:rFonts w:ascii="Arial" w:cs="Arial" w:eastAsia="Arial" w:hAnsi="Arial"/>
                <w:sz w:val="17"/>
                <w:szCs w:val="17"/>
                <w:color w:val="auto"/>
              </w:rPr>
              <w:t>Goodwill and other intangible asset impairment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38,515</w:t>
            </w:r>
          </w:p>
        </w:tc>
      </w:tr>
      <w:tr>
        <w:trPr>
          <w:trHeight w:val="223"/>
        </w:trPr>
        <w:tc>
          <w:tcPr>
            <w:tcW w:w="688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Gain on sale of facilities</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880" w:type="dxa"/>
            <w:vAlign w:val="bottom"/>
          </w:tcPr>
          <w:p>
            <w:pPr>
              <w:ind w:left="20"/>
              <w:spacing w:after="0"/>
              <w:rPr>
                <w:sz w:val="20"/>
                <w:szCs w:val="20"/>
                <w:color w:val="auto"/>
              </w:rPr>
            </w:pPr>
            <w:r>
              <w:rPr>
                <w:rFonts w:ascii="Arial" w:cs="Arial" w:eastAsia="Arial" w:hAnsi="Arial"/>
                <w:sz w:val="17"/>
                <w:szCs w:val="17"/>
                <w:color w:val="auto"/>
              </w:rPr>
              <w:t>Restructuring costs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14,010</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9,877</w:t>
            </w:r>
          </w:p>
        </w:tc>
      </w:tr>
      <w:tr>
        <w:trPr>
          <w:trHeight w:val="223"/>
        </w:trPr>
        <w:tc>
          <w:tcPr>
            <w:tcW w:w="68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1,597</w:t>
            </w: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(benefit) for federal, state and foreign income taxes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w:t>
            </w:r>
          </w:p>
        </w:tc>
      </w:tr>
      <w:tr>
        <w:trPr>
          <w:trHeight w:val="223"/>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19,124</w:t>
            </w:r>
          </w:p>
        </w:tc>
      </w:tr>
      <w:tr>
        <w:trPr>
          <w:trHeight w:val="241"/>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46,479</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174625</wp:posOffset>
            </wp:positionV>
            <wp:extent cx="799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355" w:lineRule="exact"/>
        <w:rPr>
          <w:sz w:val="20"/>
          <w:szCs w:val="20"/>
          <w:color w:val="auto"/>
        </w:rPr>
      </w:pPr>
    </w:p>
    <w:p>
      <w:pPr>
        <w:ind w:left="560" w:hanging="319"/>
        <w:spacing w:after="0" w:line="260" w:lineRule="auto"/>
        <w:tabs>
          <w:tab w:leader="none" w:pos="552" w:val="left"/>
        </w:tabs>
        <w:numPr>
          <w:ilvl w:val="0"/>
          <w:numId w:val="19"/>
        </w:numPr>
        <w:rPr>
          <w:rFonts w:ascii="Arial" w:cs="Arial" w:eastAsia="Arial" w:hAnsi="Arial"/>
          <w:sz w:val="14"/>
          <w:szCs w:val="14"/>
          <w:color w:val="auto"/>
        </w:rPr>
      </w:pPr>
      <w:r>
        <w:rPr>
          <w:rFonts w:ascii="Arial" w:cs="Arial" w:eastAsia="Arial" w:hAnsi="Arial"/>
          <w:sz w:val="14"/>
          <w:szCs w:val="14"/>
          <w:color w:val="auto"/>
        </w:rPr>
        <w:t>Gain on the sale-leaseback of our regional office and fabrication and warehouse facility located in Orange, California (see Part II. Item 8-Financial Statements and Supplementary Data, Note 3 - Property, Plant and Equipment - Sale-leaseback Transaction, for more information.)</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2022 Versus Fiscal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revenue was $707.8 million for fiscal 2022 compared to $673.4 million in fiscal 2021. On a segment basis, revenue increased in the Process and Industrial Facilities and Utility and Power Infrastructure segments by $54.9 million and $10.1 million, respectively. The increases were partially offset by a decrease in revenue of $30.6 million in the Storage and Terminal Solutions segment.</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Consolidated gross profit (loss) was ($1.2) million in fiscal 2022 compared to $32.8 million in fiscal 2021. Gross margin (loss) was (0.2)% in fiscal 2022 compared to 4.9% in fiscal 2021. Gross margins in fiscal 2022 were negatively impacted by low revenue volume, which led to the under recovery of construction overhead costs. In addition, the competitive bidding environment and increased forecasts in costs to complete projects negatively impacted gross margins. Gross margins in fiscal 2021 were negatively impacted by lower than forecasted volume, which led to under recovery of construction overhead costs, lower than previously forecasted margins on large capital projects in the Utility and Power Infrastructure and Storage and Terminal Solutions segments, and an unfavorable settlement on a contract dispute in the Storage and Terminal Solutions segment.</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Consolidated SG&amp;A expenses were $67.7 million in fiscal 2022 compared to $69.8 million in fiscal 2021. The decrease in fiscal 2022 was primarily attributable to implemented cost reductions.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the third quarter of fiscal 2022, we recorded $18.3 million of goodwill impairment. See Part II. Item 8, Financial Statements, Note 4 - Goodwill and Other Intangible Assets - Goodwill, for more information about the impairments.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actions taken to reduce our cost structure, we recorded $0.6 million of restructuring costs in fiscal 2022. These costs were net of a $1.6 million credit recorded in restructuring costs in the third quarter. The credit was due to a favorable settlement of a restructuring obligation related to our exit from the domestic iron and steel industry in fiscal 2020. See "Operational Update" in this Results of Operations section and Part II. Item 8, Financial Statements and Supplementary Data, Note 14 - Restructuring Costs, for more information.</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Interest expense was $3.0 million in fiscal 2022 and $1.6 million in fiscal 2021. Interest expense in fiscal 2022 included $1.5 million of accelerated amortization of deferred debt amendment fees in the first quarter (see Part II. Item 8, Financial Statements, Note 5 - Debt, for more information.) The remaining interest expense in fiscal 2022 was comprised of letter of credit fees, unused capacity fees, interest on outstanding advances, and amortization of deferred debt issuance costs.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income included a $32.4 million gain on the sale-leaseback of our regional office and fabrication and warehouse facility located in Orange, California during the fourth quarter of fiscal 2022. See Part II. Item 8, Financial Statements, Note 3 - Property, Plant and Equipment - Sale-leaseback Transaction,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effective tax rate for fiscal 2022 was (9.6)% compared to 27.8% in fiscal 2021. The effective tax rate during fiscal 2022 was primarily impacted by a $17.9 million valuation allowance placed on our deferred tax assets. See Part II. Item 8, Financial Statements, Note 6 - Income Taxes, for more information about the valuation allowance. The effective tax rate during fiscal 2021 was positively impacted by a provision of the CARES Act that allowed us to carryback $5.2 million of the fiscal 2021 net operating loss to a period with a higher statutory federal income tax rate. The carryback benefit was offset by $2.8 million of valuation allowances on various deferred tax assets and $1.8 million of excess tax expense related to the vesting of stock-based compensation.</w:t>
      </w:r>
    </w:p>
    <w:p>
      <w:pPr>
        <w:spacing w:after="0" w:line="110" w:lineRule="exact"/>
        <w:rPr>
          <w:sz w:val="20"/>
          <w:szCs w:val="20"/>
          <w:color w:val="auto"/>
        </w:rPr>
      </w:pPr>
    </w:p>
    <w:p>
      <w:pPr>
        <w:ind w:right="1500"/>
        <w:spacing w:after="0" w:line="450" w:lineRule="auto"/>
        <w:rPr>
          <w:sz w:val="20"/>
          <w:szCs w:val="20"/>
          <w:color w:val="auto"/>
        </w:rPr>
      </w:pPr>
      <w:r>
        <w:rPr>
          <w:rFonts w:ascii="Arial" w:cs="Arial" w:eastAsia="Arial" w:hAnsi="Arial"/>
          <w:sz w:val="17"/>
          <w:szCs w:val="17"/>
          <w:color w:val="auto"/>
        </w:rPr>
        <w:t xml:space="preserve">In fiscal 2022 and 2021, net loss was $63.9 million and $31.2 million, respectively; or $2.39 and $1.18 per fully diluted share, respectively. </w:t>
      </w:r>
      <w:r>
        <w:rPr>
          <w:rFonts w:ascii="Arial" w:cs="Arial" w:eastAsia="Arial" w:hAnsi="Arial"/>
          <w:sz w:val="17"/>
          <w:szCs w:val="17"/>
          <w:b w:val="1"/>
          <w:bCs w:val="1"/>
          <w:i w:val="1"/>
          <w:iCs w:val="1"/>
          <w:color w:val="auto"/>
        </w:rPr>
        <w:t>Utility and Power Infrastructure</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Utility and Power Infrastructure segment was $220.1 million in fiscal 2022 compared to $210.1 million in fiscal 2021. The increase is primarily due to higher volumes of power generation and power delivery work, partially offset by lower volumes of natural gas utility peak shaving and storm response service work.</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segment gross margin (loss) was (3.9)% in fiscal 2022 compared to 0.7% in fiscal 2021. Fiscal 2022 segment gross margin was materially impacted by changes in the forecasted costs to complete two large capital projects. Improved execution on the first project resulted in an increase in gross profit of $2.2 million during the second half of fiscal 2022. However, increases in the forecasted costs to complete this project during the first half of fiscal 2022 resulted in the project reducing gross profit by $3.6 million during the year. The increase in forecasted costs during the first half of the fiscal year was principally due to unexpected equipment repairs during commissioning that delayed the scheduled completion and increased the estimated costs to complete. We achieved a critical performance milestone during the second quarter of fiscal 2022, which significantly reduced our financial exposure on the project.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Increased forecasted costs to the complete the second project resulted in the project reducing gross profit by $2.2 million during the fourth quarter of fiscal 2022 and $0.1 million during fiscal 2022. We recognized $78.1 million of revenue on this project during the year at a near break-even margin as a result of the change in estimate. The increase in forecasted costs was the result of higher than anticipated subcontractor costs and labor costs as the project neared completion. We expect to complete the project during the second quarter of fiscal 2023.</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segment gross margin in fiscal 2022 was also negatively impacted by low revenue volume, which led to the under recovery of construction overhead costs, and by an unfavorable settlement of a claim with a customer in the first quarter of fiscal 2022.</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Results of operations in fiscal 2021 were materially impacted by increases in the forecasted costs to complete a large capital project. This project reduced gross profit by $5.8 million in fiscal 2021. The changes in estimate were due to lower than previously forecasted productivity caused by excessive rain at the project site, the impact of COVID-19, and rework which led to higher costs and schedule compression. In addition, segment gross margin was negatively impacted by low volume, which led to the under recovery of construction overhead costs. These negative impacts were partially offset by good project execution in the remainder of the segment.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Process and Industrial Facilities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for the Process and Industrial Facilities segment was $254.8 million in fiscal 2022 compared to $199.9 million in fiscal 2021. The increase of $54.9 million is primarily due to higher levels of refinery maintenance and turnaround work.</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segment gross margin was 3.6% in fiscal 2022 compared to 8.8% in fiscal 2021. Despite generally strong project execution and higher volumes, the segment gross margin in fiscal 2022 was negatively impacted by an increase in forecasted costs to complete a midstream gas processing project. The project reduced gross profit by $8.7 million during fiscal 2022. The increase in forecasted costs was primarily due to poor performance of a now terminated subcontractor, which required rework, as well as supply chain and escalation issues, in order to meet our client's expectations. Segment gross margin was also negatively impacted by under recovered construction overhead costs in fiscal 2022.</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Segment gross margin in fiscal 2021 was positively impacted by strong project execution and the positive impact of a one-time workers' compensation item recorded in the second quarter, but these positive impacts were partially offset by lower revenue volume, which led to the under recovery of construction overhead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Storage and Terminal Solutions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for the Storage and Terminal Solutions segment was $232.8 million in fiscal 2022 compared to $263.4 million in fiscal 2021, a decrease of $30.6 million. The decrease in segment revenue is primarily a result of lower volumes of crude oil tank and terminal capital work.</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segment gross margin was 0.1% in fiscal 2022 compared to 5.2% in fiscal 2021. The fiscal 2022 segment gross margin was negatively impacted by low revenue volume, which led to under recovery of construction overhead costs and a lower than previously forecasted margin on a thermal energy storage tank repair and maintenance project due to changes in repair scope, expanded client weld testing and associated schedule delays, which reduced segment gross profit by $6.3 million. In addition, segment gross margin was negatively impacted by smaller competitively priced capital projects.</w:t>
      </w:r>
    </w:p>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fiscal 2021 segment gross margin was negatively impacted by increases in the costs to complete a large crude oil terminal project, partially offset by an increase in the estimated recovery of those costs. During the third quarter, we achieved mechanical completion on the project, demobilized and completed our assessment of unpriced change orders. The project's financial impact for fiscal 2021 was a $3.8 million reduction to gross profit. In addition, a settlement on a contract dispute over the construction of a crude oil terminal negatively impacted gross profit by $2.9 million in the fourth quarter. The settlement resulted in a cash receipt of $8.9 million in the first quarter of fiscal 2022, which enabled us to avoid future legal costs and litigation risk. Fiscal 2021 gross margin was also negatively impacted by low volume, which led to the under recovery of construction overhead costs.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Unallocated corporate expenses were $30.3 million during fiscal 2022 compared to $26.7 million in the same period last year. The increase is primarily attributable to an increase in legal costs for outstanding litigation (see Item 8. Financial Statements, Note 7 - Commitment and Contingencies, for more information), third party consulting services and centralization of support costs related to restructuring activities (see "Operational Update" in this Results of Operations section), partially offset by cost reductions we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at June 30, 2022 were unrestricted cash and cash equivalents on hand, capacity under our ABL Facility (see "ABL Credit Facility" in this Liquidity and Capital Resources section and Item 8. Financial Statements and Supplementary Data, Note 5 - Debt, for more information), and cash generated from operations. Unrestricted cash and cash equivalents at June 30, 2022 totaled $52.4 million and availability under the ABL Facility totaled $42.5 million, resulting in total liquidity of $94.8 million.</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provides a reconciliation of cash, cash equivalents and restricted cash in the Consolidated Balance Sheets to the total cash, cash equivalents and restricted cash shown in the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5"/>
                <w:szCs w:val="15"/>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June 30, 2021</w:t>
            </w:r>
          </w:p>
        </w:tc>
      </w:tr>
      <w:tr>
        <w:trPr>
          <w:trHeight w:val="24"/>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83,878</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83,878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summary of changes in our liquidity for the year ended June 30, 2022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111365" cy="141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1365" cy="141605"/>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Liquidity at June 30, 2021</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1365" cy="141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1365"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Capital expenditures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Proceeds from asset sales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11365" cy="141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1365" cy="1416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Net borrowings under ABL Facility</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Remaining availability under ABL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1365" cy="141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1365"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restricted in support of ABL Facility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used by other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11365" cy="141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1365"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exchange rate changes on cash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Liquidity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158750</wp:posOffset>
            </wp:positionV>
            <wp:extent cx="799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63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83,878</w:t>
            </w:r>
          </w:p>
        </w:tc>
      </w:tr>
      <w:tr>
        <w:trPr>
          <w:trHeight w:val="223"/>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(54,196)</w:t>
            </w:r>
          </w:p>
        </w:tc>
      </w:tr>
      <w:tr>
        <w:trPr>
          <w:trHeight w:val="223"/>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(3,345)</w:t>
            </w:r>
          </w:p>
        </w:tc>
      </w:tr>
      <w:tr>
        <w:trPr>
          <w:trHeight w:val="223"/>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39,018</w:t>
            </w:r>
          </w:p>
        </w:tc>
      </w:tr>
      <w:tr>
        <w:trPr>
          <w:trHeight w:val="223"/>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15,000</w:t>
            </w:r>
          </w:p>
        </w:tc>
      </w:tr>
      <w:tr>
        <w:trPr>
          <w:trHeight w:val="223"/>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42,460</w:t>
            </w:r>
          </w:p>
        </w:tc>
      </w:tr>
      <w:tr>
        <w:trPr>
          <w:trHeight w:val="223"/>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(25,000)</w:t>
            </w:r>
          </w:p>
        </w:tc>
      </w:tr>
      <w:tr>
        <w:trPr>
          <w:trHeight w:val="223"/>
        </w:trPr>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(2,301)</w:t>
            </w:r>
          </w:p>
        </w:tc>
      </w:tr>
      <w:tr>
        <w:trPr>
          <w:trHeight w:val="223"/>
        </w:trPr>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w:t>
            </w:r>
          </w:p>
        </w:tc>
      </w:tr>
      <w:tr>
        <w:trPr>
          <w:trHeight w:val="216"/>
        </w:trPr>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94,831</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27" w:right="339" w:bottom="1440" w:gutter="0" w:footer="0" w:header="0"/>
          <w:type w:val="continuous"/>
        </w:sectPr>
      </w:pPr>
    </w:p>
    <w:p>
      <w:pPr>
        <w:spacing w:after="0" w:line="44" w:lineRule="exact"/>
        <w:rPr>
          <w:sz w:val="20"/>
          <w:szCs w:val="20"/>
          <w:color w:val="auto"/>
        </w:rPr>
      </w:pPr>
    </w:p>
    <w:p>
      <w:pPr>
        <w:jc w:val="both"/>
        <w:ind w:left="560" w:hanging="319"/>
        <w:spacing w:after="0" w:line="267" w:lineRule="auto"/>
        <w:tabs>
          <w:tab w:leader="none" w:pos="55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$37.4 million of proceeds from the sale-leaseback of our regional office and fabrication and warehouse facility located in Orange, California during the fourth quarter of fiscal 2022. See Part II. Item 8, Financial Statements, Note 3 - Property, Plant and Equipment - Sale-leaseback Transaction, for more information. The remaining asset sales comprised of equipment sold in the normal course of business.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continues to be significant uncertainty regarding the near- and intermediate-term business impacts from supply chain disruptions, inflation, and the dislocation of certain energy and industrial markets following the onset of the COVID-19 Pandemic and the war between Ukraine and Russia. During fiscal 2022, low revenue volume, a competitive bidding environment, and increased forecasted costs to complete certain projects led to a $54.2 million use of cash by operating activities, which negatively impacted our liquidity position. However, we improved our liquidity position by entering into a sale-leaseback transaction during the fourth quarter of fiscal 2022, which resulted in $37.4 million in proceeds (see Part II. Item 8-Financial Statements and Supplementary Data, Note 3 - Property, Plant and Equipment - Sale-leaseback Transaction, for more information.) In addition, we added $32.5 million of liquidity as a result of entering into the ABL Facility during the first quarter of fiscal 2022.</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maintain adequate liquidity to support our near- to intermediate-term needs. We are taking the following actions:</w:t>
      </w:r>
    </w:p>
    <w:p>
      <w:pPr>
        <w:spacing w:after="0" w:line="172" w:lineRule="exact"/>
        <w:rPr>
          <w:sz w:val="20"/>
          <w:szCs w:val="20"/>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strategic review of business processes and organizational structure;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proactive management of the cost structure and working capital;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eliminating all non-critical capital expenditures.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Factors that routinely impact our short-term liquidity and may impact our long-term liquidity include, but are not limited to:</w:t>
      </w:r>
    </w:p>
    <w:p>
      <w:pPr>
        <w:spacing w:after="0" w:line="250" w:lineRule="exact"/>
        <w:rPr>
          <w:sz w:val="20"/>
          <w:szCs w:val="20"/>
          <w:color w:val="auto"/>
        </w:rPr>
      </w:pPr>
    </w:p>
    <w:p>
      <w:pPr>
        <w:ind w:left="640" w:right="100" w:hanging="320"/>
        <w:spacing w:after="0" w:line="289"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84" w:lineRule="exact"/>
        <w:rPr>
          <w:rFonts w:ascii="Arial" w:cs="Arial" w:eastAsia="Arial" w:hAnsi="Arial"/>
          <w:sz w:val="17"/>
          <w:szCs w:val="17"/>
          <w:color w:val="auto"/>
        </w:rPr>
      </w:pPr>
    </w:p>
    <w:p>
      <w:pPr>
        <w:ind w:left="1260" w:right="100" w:hanging="311"/>
        <w:spacing w:after="0" w:line="289"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some cost plus and fixed price customer contracts are billed based on milestones which may require us to incur significant expenditures prior to collections from our customers;</w:t>
      </w:r>
    </w:p>
    <w:p>
      <w:pPr>
        <w:spacing w:after="0" w:line="184" w:lineRule="exact"/>
        <w:rPr>
          <w:rFonts w:ascii="Arial" w:cs="Arial" w:eastAsia="Arial" w:hAnsi="Arial"/>
          <w:sz w:val="17"/>
          <w:szCs w:val="17"/>
          <w:color w:val="auto"/>
        </w:rPr>
      </w:pPr>
    </w:p>
    <w:p>
      <w:pPr>
        <w:ind w:left="1260" w:right="140" w:hanging="311"/>
        <w:spacing w:after="0" w:line="289"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some fixed price customer contracts allow for significant upfront billings at the beginning of a project, which temporarily increases liquidity near term;</w:t>
      </w:r>
    </w:p>
    <w:p>
      <w:pPr>
        <w:spacing w:after="0" w:line="184" w:lineRule="exact"/>
        <w:rPr>
          <w:rFonts w:ascii="Arial" w:cs="Arial" w:eastAsia="Arial" w:hAnsi="Arial"/>
          <w:sz w:val="17"/>
          <w:szCs w:val="17"/>
          <w:color w:val="auto"/>
        </w:rPr>
      </w:pPr>
    </w:p>
    <w:p>
      <w:pPr>
        <w:ind w:left="1260" w:right="40" w:hanging="311"/>
        <w:spacing w:after="0" w:line="289"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time and material contracts are normally billed in arrears. Therefore, we are routinely required to carry these costs until they can be billed and collected; and</w:t>
      </w:r>
    </w:p>
    <w:p>
      <w:pPr>
        <w:spacing w:after="0" w:line="184" w:lineRule="exact"/>
        <w:rPr>
          <w:rFonts w:ascii="Arial" w:cs="Arial" w:eastAsia="Arial" w:hAnsi="Arial"/>
          <w:sz w:val="17"/>
          <w:szCs w:val="17"/>
          <w:color w:val="auto"/>
        </w:rPr>
      </w:pPr>
    </w:p>
    <w:p>
      <w:pPr>
        <w:ind w:left="1260" w:right="160" w:hanging="311"/>
        <w:spacing w:after="0" w:line="289" w:lineRule="auto"/>
        <w:tabs>
          <w:tab w:leader="none" w:pos="1256" w:val="left"/>
        </w:tabs>
        <w:numPr>
          <w:ilvl w:val="1"/>
          <w:numId w:val="22"/>
        </w:numPr>
        <w:rPr>
          <w:rFonts w:ascii="Arial" w:cs="Arial" w:eastAsia="Arial" w:hAnsi="Arial"/>
          <w:sz w:val="17"/>
          <w:szCs w:val="17"/>
          <w:color w:val="auto"/>
        </w:rPr>
      </w:pPr>
      <w:r>
        <w:rPr>
          <w:rFonts w:ascii="Arial" w:cs="Arial" w:eastAsia="Arial" w:hAnsi="Arial"/>
          <w:sz w:val="17"/>
          <w:szCs w:val="17"/>
          <w:color w:val="auto"/>
        </w:rPr>
        <w:t>some of our large construction projects may require security in the form of letters of credit or significant retentions. The timing of collection of retentions is often uncertain;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changes in working capital; and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capital expenditures.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may impact both short and long-term liquidity include:</w:t>
      </w:r>
    </w:p>
    <w:p>
      <w:pPr>
        <w:spacing w:after="0" w:line="250" w:lineRule="exact"/>
        <w:rPr>
          <w:sz w:val="20"/>
          <w:szCs w:val="20"/>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contract disputes, which can be significant;</w:t>
      </w:r>
    </w:p>
    <w:p>
      <w:pPr>
        <w:spacing w:after="0" w:line="250"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collection issues, including those caused by weak commodity prices, economic slowdowns or other factors which can lead to credit deterioration of our customers;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issuances of letters of credit; and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strategic investments in new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may impact long-term liquidity include:</w:t>
      </w:r>
    </w:p>
    <w:p>
      <w:pPr>
        <w:spacing w:after="0" w:line="250" w:lineRule="exact"/>
        <w:rPr>
          <w:sz w:val="20"/>
          <w:szCs w:val="20"/>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borrowing constraints under our credit facility and maintaining compliance with all covenants contained in the Credit Agreement;</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acquisitions and disposals of businesses; and</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purchases of shares under our stock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by Operating Activities</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Cash flows used by operating activities for the fiscal year ended June 30, 2022 totaled $54.2 million. Major components of cash flows used by operating activities for the year ended June 30, 2022 are as follows: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80" w:type="dxa"/>
            <w:vAlign w:val="bottom"/>
            <w:gridSpan w:val="2"/>
          </w:tcPr>
          <w:p>
            <w:pPr>
              <w:jc w:val="right"/>
              <w:ind w:right="2220"/>
              <w:spacing w:after="0"/>
              <w:rPr>
                <w:sz w:val="20"/>
                <w:szCs w:val="20"/>
                <w:color w:val="auto"/>
              </w:rPr>
            </w:pPr>
            <w:r>
              <w:rPr>
                <w:rFonts w:ascii="Arial" w:cs="Arial" w:eastAsia="Arial" w:hAnsi="Arial"/>
                <w:sz w:val="17"/>
                <w:szCs w:val="17"/>
                <w:b w:val="1"/>
                <w:bCs w:val="1"/>
                <w:color w:val="auto"/>
                <w:w w:val="94"/>
              </w:rPr>
              <w:t>Net Cash Used by Operating Activities</w:t>
            </w:r>
          </w:p>
        </w:tc>
        <w:tc>
          <w:tcPr>
            <w:tcW w:w="1860" w:type="dxa"/>
            <w:vAlign w:val="bottom"/>
          </w:tcPr>
          <w:p>
            <w:pPr>
              <w:spacing w:after="0"/>
              <w:rPr>
                <w:sz w:val="19"/>
                <w:szCs w:val="19"/>
                <w:color w:val="auto"/>
              </w:rPr>
            </w:pPr>
          </w:p>
        </w:tc>
      </w:tr>
      <w:tr>
        <w:trPr>
          <w:trHeight w:val="183"/>
        </w:trPr>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180" w:type="dxa"/>
            <w:vAlign w:val="bottom"/>
            <w:gridSpan w:val="2"/>
          </w:tcPr>
          <w:p>
            <w:pPr>
              <w:jc w:val="right"/>
              <w:ind w:right="3220"/>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Pr>
          <w:p>
            <w:pPr>
              <w:spacing w:after="0"/>
              <w:rPr>
                <w:sz w:val="15"/>
                <w:szCs w:val="15"/>
                <w:color w:val="auto"/>
              </w:rPr>
            </w:pPr>
          </w:p>
        </w:tc>
      </w:tr>
      <w:tr>
        <w:trPr>
          <w:trHeight w:val="158"/>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jc w:val="right"/>
              <w:ind w:right="476"/>
              <w:spacing w:after="0" w:line="159" w:lineRule="exact"/>
              <w:rPr>
                <w:sz w:val="20"/>
                <w:szCs w:val="20"/>
                <w:color w:val="auto"/>
              </w:rPr>
            </w:pPr>
            <w:r>
              <w:rPr>
                <w:rFonts w:ascii="Arial" w:cs="Arial" w:eastAsia="Arial" w:hAnsi="Arial"/>
                <w:sz w:val="14"/>
                <w:szCs w:val="14"/>
                <w:b w:val="1"/>
                <w:bCs w:val="1"/>
                <w:color w:val="auto"/>
              </w:rPr>
              <w:t>Fiscal Year Ended</w:t>
            </w:r>
          </w:p>
        </w:tc>
      </w:tr>
      <w:tr>
        <w:trPr>
          <w:trHeight w:val="188"/>
        </w:trPr>
        <w:tc>
          <w:tcPr>
            <w:tcW w:w="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June 30, 2022</w:t>
            </w:r>
          </w:p>
        </w:tc>
      </w:tr>
      <w:tr>
        <w:trPr>
          <w:trHeight w:val="221"/>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5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(63,900)</w:t>
            </w:r>
          </w:p>
        </w:tc>
      </w:tr>
      <w:tr>
        <w:trPr>
          <w:trHeight w:val="223"/>
        </w:trPr>
        <w:tc>
          <w:tcPr>
            <w:tcW w:w="4000" w:type="dxa"/>
            <w:vAlign w:val="bottom"/>
            <w:gridSpan w:val="3"/>
          </w:tcPr>
          <w:p>
            <w:pPr>
              <w:ind w:left="20"/>
              <w:spacing w:after="0" w:line="223" w:lineRule="exact"/>
              <w:rPr>
                <w:sz w:val="20"/>
                <w:szCs w:val="20"/>
                <w:color w:val="auto"/>
              </w:rPr>
            </w:pPr>
            <w:r>
              <w:rPr>
                <w:rFonts w:ascii="Arial" w:cs="Arial" w:eastAsia="Arial" w:hAnsi="Arial"/>
                <w:sz w:val="17"/>
                <w:szCs w:val="17"/>
                <w:color w:val="auto"/>
              </w:rPr>
              <w:t xml:space="preserve">Gain on sale of property, plant and equipment </w:t>
            </w:r>
            <w:r>
              <w:rPr>
                <w:rFonts w:ascii="Arial" w:cs="Arial" w:eastAsia="Arial" w:hAnsi="Arial"/>
                <w:sz w:val="22"/>
                <w:szCs w:val="22"/>
                <w:color w:val="auto"/>
                <w:vertAlign w:val="superscript"/>
              </w:rPr>
              <w:t>(1)</w:t>
            </w:r>
          </w:p>
        </w:tc>
        <w:tc>
          <w:tcPr>
            <w:tcW w:w="4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(33,114)</w:t>
            </w:r>
          </w:p>
        </w:tc>
      </w:tr>
      <w:tr>
        <w:trPr>
          <w:trHeight w:val="22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Goodwill impairment</w:t>
            </w:r>
          </w:p>
        </w:tc>
        <w:tc>
          <w:tcPr>
            <w:tcW w:w="4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18,312</w:t>
            </w:r>
          </w:p>
        </w:tc>
      </w:tr>
      <w:tr>
        <w:trPr>
          <w:trHeight w:val="22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Depreciation and amortization</w:t>
            </w:r>
          </w:p>
        </w:tc>
        <w:tc>
          <w:tcPr>
            <w:tcW w:w="4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15,254</w:t>
            </w:r>
          </w:p>
        </w:tc>
      </w:tr>
      <w:tr>
        <w:trPr>
          <w:trHeight w:val="22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Stock-based compensation expense</w:t>
            </w:r>
          </w:p>
        </w:tc>
        <w:tc>
          <w:tcPr>
            <w:tcW w:w="4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7,877</w:t>
            </w:r>
          </w:p>
        </w:tc>
      </w:tr>
      <w:tr>
        <w:trPr>
          <w:trHeight w:val="223"/>
        </w:trPr>
        <w:tc>
          <w:tcPr>
            <w:tcW w:w="4000" w:type="dxa"/>
            <w:vAlign w:val="bottom"/>
            <w:gridSpan w:val="3"/>
          </w:tcPr>
          <w:p>
            <w:pPr>
              <w:ind w:left="20"/>
              <w:spacing w:after="0"/>
              <w:rPr>
                <w:sz w:val="20"/>
                <w:szCs w:val="20"/>
                <w:color w:val="auto"/>
              </w:rPr>
            </w:pPr>
            <w:r>
              <w:rPr>
                <w:rFonts w:ascii="Arial" w:cs="Arial" w:eastAsia="Arial" w:hAnsi="Arial"/>
                <w:sz w:val="17"/>
                <w:szCs w:val="17"/>
                <w:color w:val="auto"/>
              </w:rPr>
              <w:t>Deferred income tax</w:t>
            </w:r>
          </w:p>
        </w:tc>
        <w:tc>
          <w:tcPr>
            <w:tcW w:w="4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5,358</w:t>
            </w:r>
          </w:p>
        </w:tc>
      </w:tr>
      <w:tr>
        <w:trPr>
          <w:trHeight w:val="22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non-cash expenses</w:t>
            </w:r>
          </w:p>
        </w:tc>
        <w:tc>
          <w:tcPr>
            <w:tcW w:w="4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r>
      <w:tr>
        <w:trPr>
          <w:trHeight w:val="223"/>
        </w:trPr>
        <w:tc>
          <w:tcPr>
            <w:tcW w:w="40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w w:val="93"/>
              </w:rPr>
              <w:t>Cash effect of changes in operating assets and liabilities</w:t>
            </w:r>
          </w:p>
        </w:tc>
        <w:tc>
          <w:tcPr>
            <w:tcW w:w="4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(6,408)</w:t>
            </w:r>
          </w:p>
        </w:tc>
      </w:tr>
      <w:tr>
        <w:trPr>
          <w:trHeight w:val="23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by operating activities</w:t>
            </w:r>
          </w:p>
        </w:tc>
        <w:tc>
          <w:tcPr>
            <w:tcW w:w="5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(54,196)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r>
    </w:tbl>
    <w:p>
      <w:pPr>
        <w:spacing w:after="0" w:line="152" w:lineRule="exact"/>
        <w:rPr>
          <w:sz w:val="20"/>
          <w:szCs w:val="20"/>
          <w:color w:val="auto"/>
        </w:rPr>
      </w:pPr>
    </w:p>
    <w:p>
      <w:pPr>
        <w:jc w:val="both"/>
        <w:ind w:left="560" w:hanging="319"/>
        <w:spacing w:after="0" w:line="267" w:lineRule="auto"/>
        <w:tabs>
          <w:tab w:leader="none" w:pos="552" w:val="left"/>
        </w:tabs>
        <w:numPr>
          <w:ilvl w:val="0"/>
          <w:numId w:val="25"/>
        </w:numPr>
        <w:rPr>
          <w:rFonts w:ascii="Arial" w:cs="Arial" w:eastAsia="Arial" w:hAnsi="Arial"/>
          <w:sz w:val="14"/>
          <w:szCs w:val="14"/>
          <w:color w:val="auto"/>
        </w:rPr>
      </w:pPr>
      <w:r>
        <w:rPr>
          <w:rFonts w:ascii="Arial" w:cs="Arial" w:eastAsia="Arial" w:hAnsi="Arial"/>
          <w:sz w:val="14"/>
          <w:szCs w:val="14"/>
          <w:color w:val="auto"/>
        </w:rPr>
        <w:t>Gain on sale of property, plant and equipment includes a $32.4 million gain on the sale-leaseback of our regional office and fabrication and warehouse facility located in Orange, California (see Part II. Item 8-Financial Statements and Supplementary Data, Note 3 - Property, Plant and Equipment - Sale-leaseback Transaction, for more information.) The remaining gain on the sale of property, plant and equipment comprised of equipment sold in the normal course of business.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Cash effect of changes in operating assets and liabilities at June 30, 2022 in comparison to June 30, 2021 include the following:</w:t>
      </w:r>
    </w:p>
    <w:p>
      <w:pPr>
        <w:spacing w:after="0" w:line="172" w:lineRule="exact"/>
        <w:rPr>
          <w:sz w:val="20"/>
          <w:szCs w:val="20"/>
          <w:color w:val="auto"/>
        </w:rPr>
      </w:pPr>
    </w:p>
    <w:p>
      <w:pPr>
        <w:ind w:left="640" w:hanging="320"/>
        <w:spacing w:after="0" w:line="289"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Accounts receivable, excluding credit losses recognized during the period, increased $6.6 million during fiscal 2022, which decreased cash flows from operating activities. The variance is primarily attributable to higher business volume and the timing of billing and collections.</w:t>
      </w:r>
    </w:p>
    <w:p>
      <w:pPr>
        <w:spacing w:after="0" w:line="184" w:lineRule="exact"/>
        <w:rPr>
          <w:rFonts w:ascii="Arial" w:cs="Arial" w:eastAsia="Arial" w:hAnsi="Arial"/>
          <w:sz w:val="17"/>
          <w:szCs w:val="17"/>
          <w:color w:val="auto"/>
        </w:rPr>
      </w:pPr>
    </w:p>
    <w:p>
      <w:pPr>
        <w:jc w:val="both"/>
        <w:ind w:left="640" w:hanging="320"/>
        <w:spacing w:after="0" w:line="268"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Costs and estimated earnings in excess of billings on uncompleted contracts ("CIE") increased $14.0 million, which decreased cash flows from operating activities. Billings on uncompleted contracts in excess of costs and estimated earnings ("BIE") increased $11.3 million, which increased cash flows from operating activities. CIE and BIE balances can experience significant fluctuations based on business volume and the timing of when job costs are incurred and the timing of customer billings and payments.</w:t>
      </w:r>
    </w:p>
    <w:p>
      <w:pPr>
        <w:spacing w:after="0" w:line="202" w:lineRule="exact"/>
        <w:rPr>
          <w:rFonts w:ascii="Arial" w:cs="Arial" w:eastAsia="Arial" w:hAnsi="Arial"/>
          <w:sz w:val="17"/>
          <w:szCs w:val="17"/>
          <w:color w:val="auto"/>
        </w:rPr>
      </w:pPr>
    </w:p>
    <w:p>
      <w:pPr>
        <w:jc w:val="both"/>
        <w:ind w:left="640" w:hanging="320"/>
        <w:spacing w:after="0" w:line="268"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Inventories, income taxes receivable, other current assets, operating right-of-use lease assets and other non-current assets increased $1.1 million during fiscal 2022, which decreased cash flows from operating activities. These operating assets can fluctuate based on the timing of inventory builds and draw-downs, accrual and receipt of income taxes receivable, prepayments of certain expenses, leasing activity, business volume, and other timing differences.</w:t>
      </w:r>
    </w:p>
    <w:p>
      <w:pPr>
        <w:spacing w:after="0" w:line="202" w:lineRule="exact"/>
        <w:rPr>
          <w:rFonts w:ascii="Arial" w:cs="Arial" w:eastAsia="Arial" w:hAnsi="Arial"/>
          <w:sz w:val="17"/>
          <w:szCs w:val="17"/>
          <w:color w:val="auto"/>
        </w:rPr>
      </w:pPr>
    </w:p>
    <w:p>
      <w:pPr>
        <w:jc w:val="both"/>
        <w:ind w:left="640" w:hanging="320"/>
        <w:spacing w:after="0" w:line="273"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Accounts payable, accrued wages and benefits, accrued insurance, operating lease liabilities and other accrued expenses increased by $12.2 million during fiscal 2022, which increased cash flows from operating activities. These operating liabilities can fluctuate based on the timing of vendor payments, accruals, leasing activities, business volume, and other timing differences.</w:t>
      </w:r>
    </w:p>
    <w:p>
      <w:pPr>
        <w:spacing w:after="0" w:line="198" w:lineRule="exact"/>
        <w:rPr>
          <w:rFonts w:ascii="Arial" w:cs="Arial" w:eastAsia="Arial" w:hAnsi="Arial"/>
          <w:sz w:val="17"/>
          <w:szCs w:val="17"/>
          <w:color w:val="auto"/>
        </w:rPr>
      </w:pPr>
    </w:p>
    <w:p>
      <w:pPr>
        <w:jc w:val="both"/>
        <w:ind w:left="640" w:hanging="320"/>
        <w:spacing w:after="0" w:line="273"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liabilities decreased by $7.4 million, which decreased cash flows from operating activities. This decrease was primarily due to payment on the deferred payroll tax liability associated with the CARES Act. See Part II., Item 8. Financial Statements and Supplementary Data, Note 6 - Income Taxes for more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Investing Activities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Investing activities provided $35.7 million of cash in the fiscal year ended June 30, 2022 primarily due to $39.0 million of asset sales, including $37.4 million in proceeds from the sale-leaseback of our regional office and fabrication and warehouse facilities located in Orange, California during the fourth quarter of fiscal 2022 (see Part II. Item 8, Financial Statements, Note 3 - Property, Plant and Equipment - Sale-leaseback Transaction, for more information.) The asset sale proceeds were partially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offset by $3.3 million of capital expenditures. Capital expenditures consisted of $1.5 million for facilities, office equipment and software, and $1.8 million for construction, fabrication, and transportation equipment.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Financing Activities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Financing activities provided $12.7 million of cash in the fiscal year ended June 30, 2022 primarily due to the net borrowings of $15.0 million under our ABL Facility, partially offset by $1.3 million paid in fees to enter into the ABL Facility, and $0.9 million paid to repurchase our stock for payment of withholding taxes due on equity-based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ABL Credit Facility</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5, 2022, we and our primary U.S. and Canada operating subsidiaries entered into the First Amendment and Waiver to Credit Agreement (the “Amendment”), which amended our asset-backed credit agreement (the "ABL Facility"), dated as of September 9, 2021 with Bank of Montreal, as Administrative Agent, Swing Line Lender and a Letter of Credit Issuer, and the lenders named therein. The Amendment (i) waives an event of default resulting from our failure to deliver the Administrative Agent and the lenders our audited financial statements for the fiscal year ended June 30, 2022 by September 28, 2022 (the “Audited Financial Statements”), provided we deliver the Audited Financial Statements by October 14, 2022, (ii) reduces the maximum amount of loans under the ABL Facility to $90.0 million from $100.0 million and (iii) replaces the London interbank offered rate with the forward term rate based on the secured overnight financing rate (the “SOFR”) as the interest rate benchmark.</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ABL Facility is guaranteed by substantially all of our remaining U.S. and Canadian subsidiaries. The ABL Facility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June 30, 2022, our borrowing base was $80.8 million, we had $15.0 million of outstanding borrowings, and $23.3 million in letters of credit outstanding, which resulted in availability of $42.5 million under the ABL Facility.</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of either a base rate (“Base Rate”), an Adjusted Term SOFR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June 30, 2022, including applicable margin, was 6.00%.</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lesser of (1) the current borrowing base and (2) the commitments under the ABL Facility then in effect, a consolidated Fixed Charge Coverage Ratio of at least 1.00 to 1.00 must be maintained. We are in compliance with all covenants of the ABL Facility as of June 30, 2022.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Revolving Credit Facility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Chase Bank, N.A., as Administrative Agent, Sole Lead Arranger and Sole Book Runner, and the other Lenders party thereto. The Prior Credit Agreement provided for a three-year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senior secured revolving credit facility of $200.0 million that expired November 2, 2023. We had no borrowings and $41.3 million of letters of credit outstanding under the Prior Credit Agreement as of the date we commenced the ABL Facility. Interest expense during the fiscal 2022 included $1.5 million of accelerated amortization of deferred debt amendment fees associated with the Prior Credit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Policy</w:t>
      </w:r>
    </w:p>
    <w:p>
      <w:pPr>
        <w:spacing w:after="0" w:line="172"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17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fiscal 2022 and have no current plans to repurchase stock. As of June 30, 2022,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Shares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had 1,097,703 treasury shares as of June 30, 2022 and intend to utilize these treasury shares in connection with equity awards under the our stock incentive plans and for sales to the Employee Stock Purchase Plan.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Cash Requirements from Contractual and Other Obligations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our short-term and long-term material cash requirements for known contractual and other obligations were as follows:</w:t>
      </w:r>
    </w:p>
    <w:p>
      <w:pPr>
        <w:spacing w:after="0" w:line="172" w:lineRule="exact"/>
        <w:rPr>
          <w:sz w:val="20"/>
          <w:szCs w:val="20"/>
          <w:color w:val="auto"/>
        </w:rPr>
      </w:pPr>
    </w:p>
    <w:p>
      <w:pPr>
        <w:jc w:val="both"/>
        <w:ind w:left="640" w:hanging="320"/>
        <w:spacing w:after="0" w:line="268"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Operating Leases</w:t>
      </w:r>
      <w:r>
        <w:rPr>
          <w:rFonts w:ascii="Arial" w:cs="Arial" w:eastAsia="Arial" w:hAnsi="Arial"/>
          <w:sz w:val="17"/>
          <w:szCs w:val="17"/>
          <w:color w:val="auto"/>
        </w:rPr>
        <w:t>: In the normal course of business, we lease real estate and equipment under various arrangements which are classified as operating leases. Future payments for such leases, excluding leases with initial terms of one year or less, were $31.7 million at June 30, 2022, with $7.0 million payable within the next 12 months. Refer to Part II. Item 8, Financial Statements, Note 8 - Leases, for more information about our lease obligations and the timing of expected future payments.</w:t>
      </w:r>
    </w:p>
    <w:p>
      <w:pPr>
        <w:spacing w:after="0" w:line="202" w:lineRule="exact"/>
        <w:rPr>
          <w:rFonts w:ascii="Arial" w:cs="Arial" w:eastAsia="Arial" w:hAnsi="Arial"/>
          <w:sz w:val="17"/>
          <w:szCs w:val="17"/>
          <w:color w:val="auto"/>
        </w:rPr>
      </w:pPr>
    </w:p>
    <w:p>
      <w:pPr>
        <w:jc w:val="both"/>
        <w:ind w:left="640" w:hanging="320"/>
        <w:spacing w:after="0" w:line="286" w:lineRule="auto"/>
        <w:tabs>
          <w:tab w:leader="none" w:pos="63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Outstanding Debt and Interest Payments</w:t>
      </w:r>
      <w:r>
        <w:rPr>
          <w:rFonts w:ascii="Arial" w:cs="Arial" w:eastAsia="Arial" w:hAnsi="Arial"/>
          <w:sz w:val="16"/>
          <w:szCs w:val="16"/>
          <w:color w:val="auto"/>
        </w:rPr>
        <w:t>: As of June 30, 2022, the amount outstanding under our ABL Facility was $15.0 million. Based on the outstanding balance and interest rates applicable as of June 30, 2022, if we carried the borrowings to the maturity of the facility, we would make total interest payments on the outstanding debt of $6.8 million, with $1.6 million payable within the next 12 months. The outstanding borrowings are due on September 9, 2026 when the ABL Facility matures. Future interest payments will be determined based on prevailing interest rates during that time. Refer to Part II. Item 8, Financial Statements, Note 5 - Debt, for more information about the terms of our ABL Facility.</w:t>
      </w:r>
    </w:p>
    <w:p>
      <w:pPr>
        <w:spacing w:after="0" w:line="110" w:lineRule="exact"/>
        <w:rPr>
          <w:rFonts w:ascii="Arial" w:cs="Arial" w:eastAsia="Arial" w:hAnsi="Arial"/>
          <w:sz w:val="16"/>
          <w:szCs w:val="16"/>
          <w:color w:val="auto"/>
        </w:rPr>
      </w:pPr>
    </w:p>
    <w:p>
      <w:pPr>
        <w:jc w:val="both"/>
        <w:ind w:left="640" w:hanging="320"/>
        <w:spacing w:after="0" w:line="273"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Deferred Payroll Taxes</w:t>
      </w:r>
      <w:r>
        <w:rPr>
          <w:rFonts w:ascii="Arial" w:cs="Arial" w:eastAsia="Arial" w:hAnsi="Arial"/>
          <w:sz w:val="17"/>
          <w:szCs w:val="17"/>
          <w:color w:val="auto"/>
        </w:rPr>
        <w:t>: We have deferred $5.6 million of U.S. payroll tax as of June 30, 2022 through provisions of the Coronavirus Aid, Relief, and Economic Security Act (the “CARES Act”). We must repay these deferred payroll taxes by December 31, 2022. Refer to Part II. Item 8, Financial Statements, Note 6 - Income Taxes, for more information about the deferred payroll taxes.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 and Other Commitments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Surety bonds expire at various times ranging from final completion of a project to a period extending beyond contract completion in certain circumstances. Such amounts can also fluctuate from period to period based upon the mix and level of our bonded operating activity. As of June 30, 2022, there were $140.6 million of surety bonds in force, of which we expect $90.3 million to expire within the next 12 months. We are not aware of any losses in connection with surety bonds that have been posted on our behalf, and we do not expect to incur significant losses in the foreseeable future.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issue letters of credit under our ABL Facility in the normal course of business to support workers' compensation insurance programs or certain construction contracts. As of June 30, 2022, we had $23.3 million of letters of credit outstanding, nearly all of which expire within the next 12 months. The letters of credit that support our workers’ compensation programs are expected to renew annually through the term of our credit facility. The letters of credit that support construction contracts carry expiration dates throughout fiscal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Information about our Contracts with Customers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1: Contract Identification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collectability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2: Identify Performance Obligations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3: Determine Contract Price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4: Assign Contract Price to Performance Obligations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5: Recognize Revenue as Performance Obligations are Satisfied</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Orders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 of the Notes to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Claims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 of the Notes to Financial Statements.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Costs and estimated earnings in excess of billings on uncompleted contracts included revenue for unpriced change orders and claims of $8.9 million at June 30, 2022 and $14.6 million at June 30, 2021. The amounts ultimately realized may be significantly different than the recorded amounts resulting in a material adjustment to future earnings. Generally we expect collection of amounts related to unpriced change orders and claims within twelve months. However, customers may not pay these amounts until final resolution of related claims, which may extend beyond one year.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to our market capitalization.</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performed our annual goodwill impairment test as of May 31, 2022, which resulted in no impairment. The fiscal 2022 test indicated that four reporting units with a combined total of $33.8 million of goodwill as of June 30, 2022 were at higher risk of future impairment. If our view of project opportunities or gross margins deteriorates, particularly for the higher risk reporting units, then we may be required to record an impairment of goodwill.</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considered the amount of headroom for each reporting unit when determining whether an impairment existed. The amount of headroom varies by reporting unit. Our significant assumptions, including revenue growth rates, gross margins, discount rate and other factors may change in the future based on the changing economic and competitive environment in which we operate. Assuming that all other components of our fair value estimate remain unchanged, a change in the following assumptions would have the following effect on headroom: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Headroom Sensitivity Analysis</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center"/>
              <w:ind w:right="116"/>
              <w:spacing w:after="0"/>
              <w:rPr>
                <w:sz w:val="20"/>
                <w:szCs w:val="20"/>
                <w:color w:val="auto"/>
              </w:rPr>
            </w:pPr>
            <w:r>
              <w:rPr>
                <w:rFonts w:ascii="Arial" w:cs="Arial" w:eastAsia="Arial" w:hAnsi="Arial"/>
                <w:sz w:val="16"/>
                <w:szCs w:val="16"/>
                <w:b w:val="1"/>
                <w:bCs w:val="1"/>
                <w:color w:val="auto"/>
                <w:w w:val="87"/>
              </w:rPr>
              <w:t>Goodwill as of June</w:t>
            </w:r>
          </w:p>
        </w:tc>
        <w:tc>
          <w:tcPr>
            <w:tcW w:w="1580" w:type="dxa"/>
            <w:vAlign w:val="bottom"/>
          </w:tcPr>
          <w:p>
            <w:pPr>
              <w:spacing w:after="0"/>
              <w:rPr>
                <w:sz w:val="13"/>
                <w:szCs w:val="13"/>
                <w:color w:val="auto"/>
              </w:rPr>
            </w:pPr>
          </w:p>
        </w:tc>
        <w:tc>
          <w:tcPr>
            <w:tcW w:w="1700" w:type="dxa"/>
            <w:vAlign w:val="bottom"/>
          </w:tcPr>
          <w:p>
            <w:pPr>
              <w:jc w:val="center"/>
              <w:spacing w:after="0" w:line="154" w:lineRule="exact"/>
              <w:rPr>
                <w:sz w:val="20"/>
                <w:szCs w:val="20"/>
                <w:color w:val="auto"/>
              </w:rPr>
            </w:pPr>
            <w:r>
              <w:rPr>
                <w:rFonts w:ascii="Arial" w:cs="Arial" w:eastAsia="Arial" w:hAnsi="Arial"/>
                <w:sz w:val="16"/>
                <w:szCs w:val="16"/>
                <w:b w:val="1"/>
                <w:bCs w:val="1"/>
                <w:color w:val="auto"/>
                <w:w w:val="88"/>
              </w:rPr>
              <w:t>Headroom if Revenue</w:t>
            </w:r>
          </w:p>
        </w:tc>
        <w:tc>
          <w:tcPr>
            <w:tcW w:w="1620" w:type="dxa"/>
            <w:vAlign w:val="bottom"/>
          </w:tcPr>
          <w:p>
            <w:pPr>
              <w:jc w:val="center"/>
              <w:spacing w:after="0" w:line="154" w:lineRule="exact"/>
              <w:rPr>
                <w:sz w:val="20"/>
                <w:szCs w:val="20"/>
                <w:color w:val="auto"/>
              </w:rPr>
            </w:pPr>
            <w:r>
              <w:rPr>
                <w:rFonts w:ascii="Arial" w:cs="Arial" w:eastAsia="Arial" w:hAnsi="Arial"/>
                <w:sz w:val="16"/>
                <w:szCs w:val="16"/>
                <w:b w:val="1"/>
                <w:bCs w:val="1"/>
                <w:color w:val="auto"/>
                <w:w w:val="88"/>
              </w:rPr>
              <w:t>Headroom if Gross</w:t>
            </w: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Headroom if Discount</w:t>
            </w: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Growth Rate</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Margin</w:t>
            </w: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116"/>
              <w:spacing w:after="0" w:line="158" w:lineRule="exact"/>
              <w:rPr>
                <w:sz w:val="20"/>
                <w:szCs w:val="20"/>
                <w:color w:val="auto"/>
              </w:rPr>
            </w:pPr>
            <w:r>
              <w:rPr>
                <w:rFonts w:ascii="Arial" w:cs="Arial" w:eastAsia="Arial" w:hAnsi="Arial"/>
                <w:sz w:val="16"/>
                <w:szCs w:val="16"/>
                <w:b w:val="1"/>
                <w:bCs w:val="1"/>
                <w:color w:val="auto"/>
                <w:w w:val="89"/>
              </w:rPr>
              <w:t>30, 2022</w:t>
            </w:r>
          </w:p>
        </w:tc>
        <w:tc>
          <w:tcPr>
            <w:tcW w:w="158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5"/>
              </w:rPr>
              <w:t>Baseline Headroom</w:t>
            </w: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4"/>
              </w:rPr>
              <w:t>Declines by 100 Basis</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Declines by 100 Basis</w:t>
            </w: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Rate Increases by 100</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116"/>
              <w:spacing w:after="0"/>
              <w:rPr>
                <w:sz w:val="20"/>
                <w:szCs w:val="20"/>
                <w:color w:val="auto"/>
              </w:rPr>
            </w:pPr>
            <w:r>
              <w:rPr>
                <w:rFonts w:ascii="Arial" w:cs="Arial" w:eastAsia="Arial" w:hAnsi="Arial"/>
                <w:sz w:val="16"/>
                <w:szCs w:val="16"/>
                <w:b w:val="1"/>
                <w:bCs w:val="1"/>
                <w:color w:val="auto"/>
                <w:w w:val="87"/>
              </w:rPr>
              <w:t>(in thousands)</w:t>
            </w:r>
          </w:p>
        </w:tc>
        <w:tc>
          <w:tcPr>
            <w:tcW w:w="1580" w:type="dxa"/>
            <w:vAlign w:val="bottom"/>
            <w:vMerge w:val="continue"/>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5"/>
              </w:rPr>
              <w:t>Points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5"/>
              </w:rPr>
              <w:t>Points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5"/>
              </w:rPr>
              <w:t>Basis Points</w:t>
            </w: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Reporting Unit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12,316</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-3%</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7"/>
                <w:szCs w:val="17"/>
                <w:color w:val="auto"/>
              </w:rPr>
              <w:t>Reporting Unit 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76"/>
              <w:spacing w:after="0"/>
              <w:rPr>
                <w:sz w:val="20"/>
                <w:szCs w:val="20"/>
                <w:color w:val="auto"/>
              </w:rPr>
            </w:pPr>
            <w:r>
              <w:rPr>
                <w:rFonts w:ascii="Arial" w:cs="Arial" w:eastAsia="Arial" w:hAnsi="Arial"/>
                <w:sz w:val="17"/>
                <w:szCs w:val="17"/>
                <w:color w:val="auto"/>
              </w:rPr>
              <w:t>11,158</w:t>
            </w: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4%</w:t>
            </w:r>
          </w:p>
        </w:tc>
        <w:tc>
          <w:tcPr>
            <w:tcW w:w="1700" w:type="dxa"/>
            <w:vAlign w:val="bottom"/>
          </w:tcPr>
          <w:p>
            <w:pPr>
              <w:jc w:val="center"/>
              <w:spacing w:after="0"/>
              <w:rPr>
                <w:sz w:val="20"/>
                <w:szCs w:val="20"/>
                <w:color w:val="auto"/>
              </w:rPr>
            </w:pPr>
            <w:r>
              <w:rPr>
                <w:rFonts w:ascii="Arial" w:cs="Arial" w:eastAsia="Arial" w:hAnsi="Arial"/>
                <w:sz w:val="17"/>
                <w:szCs w:val="17"/>
                <w:color w:val="auto"/>
                <w:w w:val="99"/>
              </w:rPr>
              <w:t>-2%</w:t>
            </w:r>
          </w:p>
        </w:tc>
        <w:tc>
          <w:tcPr>
            <w:tcW w:w="1620" w:type="dxa"/>
            <w:vAlign w:val="bottom"/>
          </w:tcPr>
          <w:p>
            <w:pPr>
              <w:jc w:val="center"/>
              <w:spacing w:after="0"/>
              <w:rPr>
                <w:sz w:val="20"/>
                <w:szCs w:val="20"/>
                <w:color w:val="auto"/>
              </w:rPr>
            </w:pPr>
            <w:r>
              <w:rPr>
                <w:rFonts w:ascii="Arial" w:cs="Arial" w:eastAsia="Arial" w:hAnsi="Arial"/>
                <w:sz w:val="17"/>
                <w:szCs w:val="17"/>
                <w:color w:val="auto"/>
                <w:w w:val="95"/>
              </w:rPr>
              <w:t>-12%</w:t>
            </w:r>
          </w:p>
        </w:tc>
        <w:tc>
          <w:tcPr>
            <w:tcW w:w="1620" w:type="dxa"/>
            <w:vAlign w:val="bottom"/>
          </w:tcPr>
          <w:p>
            <w:pPr>
              <w:jc w:val="center"/>
              <w:spacing w:after="0"/>
              <w:rPr>
                <w:sz w:val="20"/>
                <w:szCs w:val="20"/>
                <w:color w:val="auto"/>
              </w:rPr>
            </w:pPr>
            <w:r>
              <w:rPr>
                <w:rFonts w:ascii="Arial" w:cs="Arial" w:eastAsia="Arial" w:hAnsi="Arial"/>
                <w:sz w:val="17"/>
                <w:szCs w:val="17"/>
                <w:color w:val="auto"/>
                <w:w w:val="99"/>
              </w:rPr>
              <w:t>-4%</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Reporting Unit 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8,287</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103%</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87%</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37%</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7"/>
                <w:szCs w:val="17"/>
                <w:color w:val="auto"/>
              </w:rPr>
              <w:t>Reporting Unit 4</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76"/>
              <w:spacing w:after="0"/>
              <w:rPr>
                <w:sz w:val="20"/>
                <w:szCs w:val="20"/>
                <w:color w:val="auto"/>
              </w:rPr>
            </w:pPr>
            <w:r>
              <w:rPr>
                <w:rFonts w:ascii="Arial" w:cs="Arial" w:eastAsia="Arial" w:hAnsi="Arial"/>
                <w:sz w:val="17"/>
                <w:szCs w:val="17"/>
                <w:color w:val="auto"/>
              </w:rPr>
              <w:t>6,112</w:t>
            </w:r>
          </w:p>
        </w:tc>
        <w:tc>
          <w:tcPr>
            <w:tcW w:w="1580" w:type="dxa"/>
            <w:vAlign w:val="bottom"/>
          </w:tcPr>
          <w:p>
            <w:pPr>
              <w:jc w:val="center"/>
              <w:spacing w:after="0"/>
              <w:rPr>
                <w:sz w:val="20"/>
                <w:szCs w:val="20"/>
                <w:color w:val="auto"/>
              </w:rPr>
            </w:pPr>
            <w:r>
              <w:rPr>
                <w:rFonts w:ascii="Arial" w:cs="Arial" w:eastAsia="Arial" w:hAnsi="Arial"/>
                <w:sz w:val="17"/>
                <w:szCs w:val="17"/>
                <w:color w:val="auto"/>
                <w:w w:val="93"/>
              </w:rPr>
              <w:t>23%</w:t>
            </w:r>
          </w:p>
        </w:tc>
        <w:tc>
          <w:tcPr>
            <w:tcW w:w="1700" w:type="dxa"/>
            <w:vAlign w:val="bottom"/>
          </w:tcPr>
          <w:p>
            <w:pPr>
              <w:jc w:val="center"/>
              <w:spacing w:after="0"/>
              <w:rPr>
                <w:sz w:val="20"/>
                <w:szCs w:val="20"/>
                <w:color w:val="auto"/>
              </w:rPr>
            </w:pPr>
            <w:r>
              <w:rPr>
                <w:rFonts w:ascii="Arial" w:cs="Arial" w:eastAsia="Arial" w:hAnsi="Arial"/>
                <w:sz w:val="17"/>
                <w:szCs w:val="17"/>
                <w:color w:val="auto"/>
                <w:w w:val="93"/>
              </w:rPr>
              <w:t>18%</w:t>
            </w:r>
          </w:p>
        </w:tc>
        <w:tc>
          <w:tcPr>
            <w:tcW w:w="1620" w:type="dxa"/>
            <w:vAlign w:val="bottom"/>
          </w:tcPr>
          <w:p>
            <w:pPr>
              <w:jc w:val="center"/>
              <w:spacing w:after="0"/>
              <w:rPr>
                <w:sz w:val="20"/>
                <w:szCs w:val="20"/>
                <w:color w:val="auto"/>
              </w:rPr>
            </w:pPr>
            <w:r>
              <w:rPr>
                <w:rFonts w:ascii="Arial" w:cs="Arial" w:eastAsia="Arial" w:hAnsi="Arial"/>
                <w:sz w:val="17"/>
                <w:szCs w:val="17"/>
                <w:color w:val="auto"/>
                <w:w w:val="97"/>
              </w:rPr>
              <w:t>1%</w:t>
            </w:r>
          </w:p>
        </w:tc>
        <w:tc>
          <w:tcPr>
            <w:tcW w:w="1620" w:type="dxa"/>
            <w:vAlign w:val="bottom"/>
          </w:tcPr>
          <w:p>
            <w:pPr>
              <w:jc w:val="center"/>
              <w:spacing w:after="0"/>
              <w:rPr>
                <w:sz w:val="20"/>
                <w:szCs w:val="20"/>
                <w:color w:val="auto"/>
              </w:rPr>
            </w:pPr>
            <w:r>
              <w:rPr>
                <w:rFonts w:ascii="Arial" w:cs="Arial" w:eastAsia="Arial" w:hAnsi="Arial"/>
                <w:sz w:val="17"/>
                <w:szCs w:val="17"/>
                <w:color w:val="auto"/>
                <w:w w:val="93"/>
              </w:rPr>
              <w:t>17%</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Reporting Unit 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4,262</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16%</w:t>
            </w:r>
          </w:p>
        </w:tc>
        <w:tc>
          <w:tcPr>
            <w:tcW w:w="1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9%</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-17%</w:t>
            </w: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the third quarter, we concluded that goodwill impairment indicators existed based on the decline in the price of our stock and operating results that have underperformed our forecasts during the year. Accordingly, we performed an interim impairment test as of March 31, 2022 and concluded that there was $18.3 million of total impairment to goodwill, which was recorded as follows:</w:t>
      </w:r>
    </w:p>
    <w:p>
      <w:pPr>
        <w:spacing w:after="0" w:line="1" w:lineRule="exact"/>
        <w:rPr>
          <w:sz w:val="20"/>
          <w:szCs w:val="20"/>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$8.4 million in the Process and Industrial Facilities segment;</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$7.2 million in the Storage and Terminal Solutions segment; and</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$2.7 million in the Utility and Power Infrastructure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interest rate risk results primarily from our variable rate indebtedness under our ABL Facility, which is influenced by movements in short-term rates. Borrowings under the ABL Facility bear interest through maturity at a variable rate based upon, at our option, an annual rate of either a base rate (“Base Rate”), an Adjusted Term SOFR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June 30, 2022, including applicable margin, was 6.00%.</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with interest rate risk at June 30, 2022 were as follows:</w:t>
      </w: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Maturity by 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4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4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0"/>
              <w:spacing w:after="0" w:line="148" w:lineRule="exact"/>
              <w:rPr>
                <w:sz w:val="20"/>
                <w:szCs w:val="20"/>
                <w:color w:val="auto"/>
              </w:rPr>
            </w:pPr>
            <w:r>
              <w:rPr>
                <w:rFonts w:ascii="Arial" w:cs="Arial" w:eastAsia="Arial" w:hAnsi="Arial"/>
                <w:sz w:val="14"/>
                <w:szCs w:val="14"/>
                <w:b w:val="1"/>
                <w:bCs w:val="1"/>
                <w:color w:val="auto"/>
                <w:w w:val="89"/>
              </w:rPr>
              <w:t>Fair Value as of June</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30, 2022</w:t>
            </w:r>
          </w:p>
        </w:tc>
        <w:tc>
          <w:tcPr>
            <w:tcW w:w="0" w:type="dxa"/>
            <w:vAlign w:val="bottom"/>
          </w:tcPr>
          <w:p>
            <w:pPr>
              <w:spacing w:after="0"/>
              <w:rPr>
                <w:sz w:val="1"/>
                <w:szCs w:val="1"/>
                <w:color w:val="auto"/>
              </w:rPr>
            </w:pPr>
          </w:p>
        </w:tc>
      </w:tr>
      <w:tr>
        <w:trPr>
          <w:trHeight w:val="181"/>
        </w:trPr>
        <w:tc>
          <w:tcPr>
            <w:tcW w:w="2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04"/>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0"/>
              <w:spacing w:after="0"/>
              <w:rPr>
                <w:sz w:val="20"/>
                <w:szCs w:val="20"/>
                <w:color w:val="auto"/>
              </w:rPr>
            </w:pPr>
            <w:r>
              <w:rPr>
                <w:rFonts w:ascii="Arial" w:cs="Arial" w:eastAsia="Arial" w:hAnsi="Arial"/>
                <w:sz w:val="17"/>
                <w:szCs w:val="17"/>
                <w:color w:val="auto"/>
              </w:rPr>
              <w:t>Variable rate debt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380" w:type="dxa"/>
            <w:vAlign w:val="bottom"/>
            <w:gridSpan w:val="3"/>
          </w:tcPr>
          <w:p>
            <w:pPr>
              <w:ind w:left="740"/>
              <w:spacing w:after="0"/>
              <w:rPr>
                <w:sz w:val="20"/>
                <w:szCs w:val="20"/>
                <w:color w:val="auto"/>
              </w:rPr>
            </w:pPr>
            <w:r>
              <w:rPr>
                <w:rFonts w:ascii="Arial" w:cs="Arial" w:eastAsia="Arial" w:hAnsi="Arial"/>
                <w:sz w:val="17"/>
                <w:szCs w:val="17"/>
                <w:color w:val="auto"/>
              </w:rPr>
              <w:t>—  $</w:t>
            </w:r>
          </w:p>
        </w:tc>
        <w:tc>
          <w:tcPr>
            <w:tcW w:w="1500" w:type="dxa"/>
            <w:vAlign w:val="bottom"/>
            <w:gridSpan w:val="3"/>
          </w:tcPr>
          <w:p>
            <w:pPr>
              <w:jc w:val="center"/>
              <w:ind w:left="344"/>
              <w:spacing w:after="0"/>
              <w:rPr>
                <w:sz w:val="20"/>
                <w:szCs w:val="20"/>
                <w:color w:val="auto"/>
              </w:rPr>
            </w:pPr>
            <w:r>
              <w:rPr>
                <w:rFonts w:ascii="Arial" w:cs="Arial" w:eastAsia="Arial" w:hAnsi="Arial"/>
                <w:sz w:val="17"/>
                <w:szCs w:val="17"/>
                <w:color w:val="auto"/>
              </w:rPr>
              <w:t>—  $</w:t>
            </w:r>
          </w:p>
        </w:tc>
        <w:tc>
          <w:tcPr>
            <w:tcW w:w="1280" w:type="dxa"/>
            <w:vAlign w:val="bottom"/>
            <w:gridSpan w:val="3"/>
          </w:tcPr>
          <w:p>
            <w:pPr>
              <w:ind w:left="640"/>
              <w:spacing w:after="0"/>
              <w:rPr>
                <w:sz w:val="20"/>
                <w:szCs w:val="20"/>
                <w:color w:val="auto"/>
              </w:rPr>
            </w:pPr>
            <w:r>
              <w:rPr>
                <w:rFonts w:ascii="Arial" w:cs="Arial" w:eastAsia="Arial" w:hAnsi="Arial"/>
                <w:sz w:val="17"/>
                <w:szCs w:val="17"/>
                <w:color w:val="auto"/>
              </w:rPr>
              <w:t>—  $</w:t>
            </w:r>
          </w:p>
        </w:tc>
        <w:tc>
          <w:tcPr>
            <w:tcW w:w="1400" w:type="dxa"/>
            <w:vAlign w:val="bottom"/>
            <w:gridSpan w:val="3"/>
          </w:tcPr>
          <w:p>
            <w:pPr>
              <w:ind w:left="740"/>
              <w:spacing w:after="0"/>
              <w:rPr>
                <w:sz w:val="20"/>
                <w:szCs w:val="20"/>
                <w:color w:val="auto"/>
              </w:rPr>
            </w:pPr>
            <w:r>
              <w:rPr>
                <w:rFonts w:ascii="Arial" w:cs="Arial" w:eastAsia="Arial" w:hAnsi="Arial"/>
                <w:sz w:val="17"/>
                <w:szCs w:val="17"/>
                <w:color w:val="auto"/>
              </w:rPr>
              <w:t>—  $</w:t>
            </w:r>
          </w:p>
        </w:tc>
        <w:tc>
          <w:tcPr>
            <w:tcW w:w="98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If the interest in effect for borrowings outstanding at June 30, 2022, including applicable margin, increases 1.00%, then our interest expense would only increase $0.2 million, which would not have a material impact to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subsidiaries with operations in Canada and South Korea, which use the Canadian Dollar and South Korean Won, respectively, as their functional currencies. We also have a subsidiary with operations in Australia, but its functional currency is the U.S. Dollar since its sales are primarily denominated in U.S. Dollars.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Historically, movements in the Canadian Dollar to U.S. Dollar exchange rate have not significantly impacted our results. Also, we do not expect exchange rate fluctuations in our South Korean and Australian operations to materially impact our financial results since these operations represent an insignificant portion of our consolidated revenue and expenses. However, further growth in our Canadian, South Korean and/or Australian operations and/or significant fluctuations in the Canadian Dollar, South Korean Won and/or Australian Dollar to U.S. Dollar exchange rates could impact our financial results in the future.</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 has not entered into derivative instruments to hedge foreign currency risk, but periodically evaluates the materiality of our foreign currency exposure. To mitigate our risk, on occasion we convert Canadian Dollar balances into U.S. Dollars to settle U.S. Dollar amounts owed by our Canadian operations. A 10% unfavorable change in the Canadian Dollar against the U.S. Dollar would not have had a material impact on our financial results for the fiscal year ended June 30, 2022.</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no direct commodity exposure, but we do have exposure to materials derived from certain commodities including steel plate, steel pipe, and copper, which are key materials we use. The COVID-19 Pandemic and the war between Russia and Ukraine has resulted in disruptions to global supply chains, which have led to higher prices for some of the materials we need to run our business.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costs. We have been proactive with managing our procurement processes to help reduce the impacts of rising materials prices on our business and to help ensure we continue to have the materials we need available. However, rising prices and the potential for materials shortages have interjected additional risk into bidding and executing work profitably.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40" w:type="dxa"/>
            <w:vAlign w:val="bottom"/>
            <w:gridSpan w:val="16"/>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820" w:type="dxa"/>
            <w:vAlign w:val="bottom"/>
            <w:gridSpan w:val="15"/>
          </w:tcPr>
          <w:p>
            <w:pPr>
              <w:spacing w:after="0"/>
              <w:rPr>
                <w:sz w:val="20"/>
                <w:szCs w:val="20"/>
                <w:color w:val="auto"/>
              </w:rPr>
            </w:pPr>
            <w:r>
              <w:rPr>
                <w:rFonts w:ascii="Arial" w:cs="Arial" w:eastAsia="Arial" w:hAnsi="Arial"/>
                <w:sz w:val="17"/>
                <w:szCs w:val="17"/>
                <w:color w:val="auto"/>
              </w:rPr>
              <w:t>Financial Statements of the Company</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6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3"/>
              </w:rPr>
              <w:t>Management’s Report on Internal Control Over Financial Reporting</w:t>
            </w:r>
          </w:p>
        </w:tc>
        <w:tc>
          <w:tcPr>
            <w:tcW w:w="374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43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00" w:type="dxa"/>
            <w:vAlign w:val="bottom"/>
            <w:gridSpan w:val="14"/>
          </w:tcPr>
          <w:p>
            <w:pPr>
              <w:spacing w:after="0"/>
              <w:rPr>
                <w:sz w:val="20"/>
                <w:szCs w:val="20"/>
                <w:color w:val="auto"/>
              </w:rPr>
            </w:pPr>
            <w:r>
              <w:rPr>
                <w:rFonts w:ascii="Arial" w:cs="Arial" w:eastAsia="Arial" w:hAnsi="Arial"/>
                <w:sz w:val="17"/>
                <w:szCs w:val="17"/>
                <w:color w:val="0000FF"/>
              </w:rPr>
              <w:t xml:space="preserve">Reports of Independent Registered Public Accounting Firm </w:t>
            </w:r>
            <w:r>
              <w:rPr>
                <w:rFonts w:ascii="Arial" w:cs="Arial" w:eastAsia="Arial" w:hAnsi="Arial"/>
                <w:sz w:val="17"/>
                <w:szCs w:val="17"/>
                <w:color w:val="000000"/>
              </w:rPr>
              <w:t>(PCAOB ID 34)</w:t>
            </w:r>
          </w:p>
        </w:tc>
        <w:tc>
          <w:tcPr>
            <w:tcW w:w="940" w:type="dxa"/>
            <w:vAlign w:val="bottom"/>
            <w:gridSpan w:val="2"/>
          </w:tcPr>
          <w:p>
            <w:pPr>
              <w:jc w:val="right"/>
              <w:spacing w:after="0"/>
              <w:rPr>
                <w:sz w:val="20"/>
                <w:szCs w:val="20"/>
                <w:color w:val="auto"/>
              </w:rPr>
            </w:pPr>
            <w:r>
              <w:rPr>
                <w:rFonts w:ascii="Arial" w:cs="Arial" w:eastAsia="Arial" w:hAnsi="Arial"/>
                <w:sz w:val="17"/>
                <w:szCs w:val="17"/>
                <w:color w:val="0000FF"/>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180" w:type="dxa"/>
            <w:vAlign w:val="bottom"/>
            <w:gridSpan w:val="13"/>
          </w:tcPr>
          <w:p>
            <w:pPr>
              <w:spacing w:after="0"/>
              <w:rPr>
                <w:sz w:val="20"/>
                <w:szCs w:val="20"/>
                <w:color w:val="auto"/>
              </w:rPr>
            </w:pPr>
            <w:r>
              <w:rPr>
                <w:rFonts w:ascii="Arial" w:cs="Arial" w:eastAsia="Arial" w:hAnsi="Arial"/>
                <w:sz w:val="17"/>
                <w:szCs w:val="17"/>
                <w:color w:val="0000FF"/>
              </w:rPr>
              <w:t>Consolidated Statements of Income for the Fiscal Years Ended June 30, 2022, June 30, 2021, and June 30,</w:t>
            </w:r>
          </w:p>
        </w:tc>
        <w:tc>
          <w:tcPr>
            <w:tcW w:w="760" w:type="dxa"/>
            <w:vAlign w:val="bottom"/>
            <w:vMerge w:val="restart"/>
          </w:tcPr>
          <w:p>
            <w:pPr>
              <w:spacing w:after="0"/>
              <w:rPr>
                <w:sz w:val="22"/>
                <w:szCs w:val="22"/>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0000FF"/>
                <w:w w:val="84"/>
              </w:rPr>
              <w:t>48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340" w:type="dxa"/>
            <w:vAlign w:val="bottom"/>
            <w:tcBorders>
              <w:top w:val="single" w:sz="8" w:color="0000FF"/>
              <w:bottom w:val="single" w:sz="8" w:color="0000FF"/>
            </w:tcBorders>
          </w:tcPr>
          <w:p>
            <w:pPr>
              <w:spacing w:after="0" w:line="163" w:lineRule="exact"/>
              <w:rPr>
                <w:sz w:val="20"/>
                <w:szCs w:val="20"/>
                <w:color w:val="auto"/>
              </w:rPr>
            </w:pPr>
            <w:r>
              <w:rPr>
                <w:rFonts w:ascii="Arial" w:cs="Arial" w:eastAsia="Arial" w:hAnsi="Arial"/>
                <w:sz w:val="17"/>
                <w:szCs w:val="17"/>
                <w:color w:val="0000FF"/>
                <w:w w:val="84"/>
              </w:rPr>
              <w:t>2020</w:t>
            </w:r>
          </w:p>
        </w:tc>
        <w:tc>
          <w:tcPr>
            <w:tcW w:w="62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180" w:type="dxa"/>
            <w:vAlign w:val="bottom"/>
            <w:gridSpan w:val="13"/>
          </w:tcPr>
          <w:p>
            <w:pPr>
              <w:spacing w:after="0"/>
              <w:rPr>
                <w:sz w:val="20"/>
                <w:szCs w:val="20"/>
                <w:color w:val="auto"/>
              </w:rPr>
            </w:pPr>
            <w:r>
              <w:rPr>
                <w:rFonts w:ascii="Arial" w:cs="Arial" w:eastAsia="Arial" w:hAnsi="Arial"/>
                <w:sz w:val="17"/>
                <w:szCs w:val="17"/>
                <w:color w:val="0000FF"/>
              </w:rPr>
              <w:t>Consolidated Statements of Comprehensive Income for the Fiscal Years Ended June 30, 2022, June 30,</w:t>
            </w:r>
          </w:p>
        </w:tc>
        <w:tc>
          <w:tcPr>
            <w:tcW w:w="9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49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0" w:type="dxa"/>
            <w:vAlign w:val="bottom"/>
            <w:tcBorders>
              <w:top w:val="single" w:sz="8" w:color="0000FF"/>
            </w:tcBorders>
            <w:gridSpan w:val="11"/>
          </w:tcPr>
          <w:p>
            <w:pPr>
              <w:spacing w:after="0" w:line="163" w:lineRule="exact"/>
              <w:rPr>
                <w:sz w:val="20"/>
                <w:szCs w:val="20"/>
                <w:color w:val="auto"/>
              </w:rPr>
            </w:pPr>
            <w:r>
              <w:rPr>
                <w:rFonts w:ascii="Arial" w:cs="Arial" w:eastAsia="Arial" w:hAnsi="Arial"/>
                <w:sz w:val="17"/>
                <w:szCs w:val="17"/>
                <w:color w:val="0000FF"/>
              </w:rPr>
              <w:t>2021, and June 30, 2020</w:t>
            </w:r>
          </w:p>
        </w:tc>
        <w:tc>
          <w:tcPr>
            <w:tcW w:w="980" w:type="dxa"/>
            <w:vAlign w:val="bottom"/>
            <w:gridSpan w:val="2"/>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7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w w:val="90"/>
              </w:rPr>
              <w:t>Consolidated Balance Sheets as of June 30, 2022 and June 30, 2021</w:t>
            </w:r>
          </w:p>
        </w:tc>
        <w:tc>
          <w:tcPr>
            <w:tcW w:w="3440" w:type="dxa"/>
            <w:vAlign w:val="bottom"/>
            <w:gridSpan w:val="5"/>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50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180" w:type="dxa"/>
            <w:vAlign w:val="bottom"/>
            <w:gridSpan w:val="13"/>
          </w:tcPr>
          <w:p>
            <w:pPr>
              <w:spacing w:after="0"/>
              <w:rPr>
                <w:sz w:val="20"/>
                <w:szCs w:val="20"/>
                <w:color w:val="auto"/>
              </w:rPr>
            </w:pPr>
            <w:r>
              <w:rPr>
                <w:rFonts w:ascii="Arial" w:cs="Arial" w:eastAsia="Arial" w:hAnsi="Arial"/>
                <w:sz w:val="17"/>
                <w:szCs w:val="17"/>
                <w:color w:val="0000FF"/>
              </w:rPr>
              <w:t>Consolidated Statements of Cash Flows for the Fiscal Years Ended June 30, 2022, June 30, 2021, and</w:t>
            </w:r>
          </w:p>
        </w:tc>
        <w:tc>
          <w:tcPr>
            <w:tcW w:w="9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52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100" w:type="dxa"/>
            <w:vAlign w:val="bottom"/>
            <w:tcBorders>
              <w:top w:val="single" w:sz="8" w:color="0000FF"/>
            </w:tcBorders>
            <w:gridSpan w:val="10"/>
          </w:tcPr>
          <w:p>
            <w:pPr>
              <w:spacing w:after="0" w:line="163" w:lineRule="exact"/>
              <w:rPr>
                <w:sz w:val="20"/>
                <w:szCs w:val="20"/>
                <w:color w:val="auto"/>
              </w:rPr>
            </w:pPr>
            <w:r>
              <w:rPr>
                <w:rFonts w:ascii="Arial" w:cs="Arial" w:eastAsia="Arial" w:hAnsi="Arial"/>
                <w:sz w:val="17"/>
                <w:szCs w:val="17"/>
                <w:color w:val="0000FF"/>
              </w:rPr>
              <w:t>June 30, 2020</w:t>
            </w:r>
          </w:p>
        </w:tc>
        <w:tc>
          <w:tcPr>
            <w:tcW w:w="1080" w:type="dxa"/>
            <w:vAlign w:val="bottom"/>
            <w:gridSpan w:val="3"/>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180" w:type="dxa"/>
            <w:vAlign w:val="bottom"/>
            <w:gridSpan w:val="13"/>
          </w:tcPr>
          <w:p>
            <w:pPr>
              <w:spacing w:after="0"/>
              <w:rPr>
                <w:sz w:val="20"/>
                <w:szCs w:val="20"/>
                <w:color w:val="auto"/>
              </w:rPr>
            </w:pPr>
            <w:r>
              <w:rPr>
                <w:rFonts w:ascii="Arial" w:cs="Arial" w:eastAsia="Arial" w:hAnsi="Arial"/>
                <w:sz w:val="17"/>
                <w:szCs w:val="17"/>
                <w:color w:val="0000FF"/>
              </w:rPr>
              <w:t>Consolidated Statements of Changes in Stockholders’ Equity for the Fiscal Years Ended June 30,</w:t>
            </w:r>
          </w:p>
        </w:tc>
        <w:tc>
          <w:tcPr>
            <w:tcW w:w="9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54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780" w:type="dxa"/>
            <w:vAlign w:val="bottom"/>
            <w:tcBorders>
              <w:top w:val="single" w:sz="8" w:color="0000FF"/>
            </w:tcBorders>
            <w:gridSpan w:val="9"/>
          </w:tcPr>
          <w:p>
            <w:pPr>
              <w:spacing w:after="0" w:line="163" w:lineRule="exact"/>
              <w:rPr>
                <w:sz w:val="20"/>
                <w:szCs w:val="20"/>
                <w:color w:val="auto"/>
              </w:rPr>
            </w:pPr>
            <w:r>
              <w:rPr>
                <w:rFonts w:ascii="Arial" w:cs="Arial" w:eastAsia="Arial" w:hAnsi="Arial"/>
                <w:sz w:val="17"/>
                <w:szCs w:val="17"/>
                <w:color w:val="0000FF"/>
              </w:rPr>
              <w:t>2022, June 30, 2021, and June 30, 2020</w:t>
            </w:r>
          </w:p>
        </w:tc>
        <w:tc>
          <w:tcPr>
            <w:tcW w:w="1400" w:type="dxa"/>
            <w:vAlign w:val="bottom"/>
            <w:gridSpan w:val="4"/>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180" w:type="dxa"/>
            <w:vAlign w:val="bottom"/>
            <w:gridSpan w:val="13"/>
          </w:tcPr>
          <w:p>
            <w:pPr>
              <w:spacing w:after="0"/>
              <w:rPr>
                <w:sz w:val="20"/>
                <w:szCs w:val="20"/>
                <w:color w:val="auto"/>
              </w:rPr>
            </w:pPr>
            <w:r>
              <w:rPr>
                <w:rFonts w:ascii="Arial" w:cs="Arial" w:eastAsia="Arial" w:hAnsi="Arial"/>
                <w:sz w:val="17"/>
                <w:szCs w:val="17"/>
                <w:color w:val="0000FF"/>
              </w:rPr>
              <w:t>Notes to Consolidated Financial Statements</w:t>
            </w:r>
          </w:p>
        </w:tc>
        <w:tc>
          <w:tcPr>
            <w:tcW w:w="940" w:type="dxa"/>
            <w:vAlign w:val="bottom"/>
            <w:gridSpan w:val="2"/>
          </w:tcPr>
          <w:p>
            <w:pPr>
              <w:jc w:val="right"/>
              <w:spacing w:after="0"/>
              <w:rPr>
                <w:sz w:val="20"/>
                <w:szCs w:val="20"/>
                <w:color w:val="auto"/>
              </w:rPr>
            </w:pPr>
            <w:r>
              <w:rPr>
                <w:rFonts w:ascii="Arial" w:cs="Arial" w:eastAsia="Arial" w:hAnsi="Arial"/>
                <w:sz w:val="17"/>
                <w:szCs w:val="17"/>
                <w:color w:val="0000FF"/>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8820" w:type="dxa"/>
            <w:vAlign w:val="bottom"/>
            <w:gridSpan w:val="15"/>
          </w:tcPr>
          <w:p>
            <w:pPr>
              <w:spacing w:after="0"/>
              <w:rPr>
                <w:sz w:val="20"/>
                <w:szCs w:val="20"/>
                <w:color w:val="auto"/>
              </w:rPr>
            </w:pPr>
            <w:r>
              <w:rPr>
                <w:rFonts w:ascii="Arial" w:cs="Arial" w:eastAsia="Arial" w:hAnsi="Arial"/>
                <w:sz w:val="17"/>
                <w:szCs w:val="17"/>
                <w:color w:val="0000FF"/>
              </w:rPr>
              <w:t>Schedule II—Valuation and Qualifying Accounts</w:t>
            </w:r>
          </w:p>
        </w:tc>
        <w:tc>
          <w:tcPr>
            <w:tcW w:w="940" w:type="dxa"/>
            <w:vAlign w:val="bottom"/>
            <w:gridSpan w:val="2"/>
          </w:tcPr>
          <w:p>
            <w:pPr>
              <w:jc w:val="right"/>
              <w:spacing w:after="0"/>
              <w:rPr>
                <w:sz w:val="20"/>
                <w:szCs w:val="20"/>
                <w:color w:val="auto"/>
              </w:rPr>
            </w:pPr>
            <w:r>
              <w:rPr>
                <w:rFonts w:ascii="Arial" w:cs="Arial" w:eastAsia="Arial" w:hAnsi="Arial"/>
                <w:sz w:val="17"/>
                <w:szCs w:val="17"/>
                <w:color w:val="0000FF"/>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Schedules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financial statement schedule is filed as a part of this report under Schedule II – Valuation and Qualifying Accounts for the three fiscal years ended June 30, 2022, June 30, 2021 and June 30, 2020 immediately following Notes to Consolidated Financial Statements.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management of Matrix Service Company and its wholly-owned subsidiaries (the “Company”)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Company’s management assessed the effectiveness of the Company’s internal control over financial reporting as of June 30, 2022. In making this assessment, the Company’s management used the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set forth by the Committee of Sponsoring Organizations of the Treadway Commission (“COSO”) in Internal Control-Integrated Framework.</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2022 was effective.</w:t>
      </w:r>
    </w:p>
    <w:p>
      <w:pPr>
        <w:spacing w:after="0" w:line="120" w:lineRule="exact"/>
        <w:rPr>
          <w:sz w:val="20"/>
          <w:szCs w:val="20"/>
          <w:color w:val="auto"/>
        </w:rPr>
      </w:pPr>
    </w:p>
    <w:p>
      <w:pPr>
        <w:jc w:val="both"/>
        <w:spacing w:after="0" w:line="360" w:lineRule="auto"/>
        <w:rPr>
          <w:sz w:val="20"/>
          <w:szCs w:val="20"/>
          <w:color w:val="auto"/>
        </w:rPr>
      </w:pPr>
      <w:r>
        <w:rPr>
          <w:rFonts w:ascii="Arial" w:cs="Arial" w:eastAsia="Arial" w:hAnsi="Arial"/>
          <w:sz w:val="15"/>
          <w:szCs w:val="15"/>
          <w:color w:val="auto"/>
        </w:rPr>
        <w:t>Deloitte &amp; Touche LLP, an independent registered public accounting firm, has issued an attestation report on the effectiveness of the Company’s internal control over financial reporting as of June 30, 2022.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0" w:type="dxa"/>
            <w:vAlign w:val="bottom"/>
            <w:gridSpan w:val="2"/>
          </w:tcPr>
          <w:p>
            <w:pPr>
              <w:jc w:val="center"/>
              <w:ind w:right="2460"/>
              <w:spacing w:after="0"/>
              <w:rPr>
                <w:sz w:val="20"/>
                <w:szCs w:val="20"/>
                <w:color w:val="auto"/>
              </w:rPr>
            </w:pPr>
            <w:r>
              <w:rPr>
                <w:rFonts w:ascii="Arial" w:cs="Arial" w:eastAsia="Arial" w:hAnsi="Arial"/>
                <w:sz w:val="17"/>
                <w:szCs w:val="17"/>
                <w:color w:val="auto"/>
                <w:w w:val="94"/>
              </w:rPr>
              <w:t>/s/ John R. Hewitt</w:t>
            </w:r>
          </w:p>
        </w:tc>
        <w:tc>
          <w:tcPr>
            <w:tcW w:w="4620" w:type="dxa"/>
            <w:vAlign w:val="bottom"/>
          </w:tcPr>
          <w:p>
            <w:pPr>
              <w:jc w:val="center"/>
              <w:ind w:left="264"/>
              <w:spacing w:after="0"/>
              <w:rPr>
                <w:sz w:val="20"/>
                <w:szCs w:val="20"/>
                <w:color w:val="auto"/>
              </w:rPr>
            </w:pPr>
            <w:r>
              <w:rPr>
                <w:rFonts w:ascii="Arial" w:cs="Arial" w:eastAsia="Arial" w:hAnsi="Arial"/>
                <w:sz w:val="17"/>
                <w:szCs w:val="17"/>
                <w:color w:val="auto"/>
                <w:w w:val="93"/>
              </w:rPr>
              <w:t>/s/ Kevin S. Cavanah</w:t>
            </w:r>
          </w:p>
        </w:tc>
      </w:tr>
      <w:tr>
        <w:trPr>
          <w:trHeight w:val="176"/>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John R. Hewitt</w:t>
            </w:r>
          </w:p>
        </w:tc>
        <w:tc>
          <w:tcPr>
            <w:tcW w:w="2480" w:type="dxa"/>
            <w:vAlign w:val="bottom"/>
          </w:tcPr>
          <w:p>
            <w:pPr>
              <w:spacing w:after="0"/>
              <w:rPr>
                <w:sz w:val="15"/>
                <w:szCs w:val="15"/>
                <w:color w:val="auto"/>
              </w:rPr>
            </w:pPr>
          </w:p>
        </w:tc>
        <w:tc>
          <w:tcPr>
            <w:tcW w:w="4620" w:type="dxa"/>
            <w:vAlign w:val="bottom"/>
            <w:tcBorders>
              <w:top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91"/>
              </w:rPr>
              <w:t>Kevin S. Cavanah</w:t>
            </w:r>
          </w:p>
        </w:tc>
      </w:tr>
      <w:tr>
        <w:trPr>
          <w:trHeight w:val="187"/>
        </w:trPr>
        <w:tc>
          <w:tcPr>
            <w:tcW w:w="6600" w:type="dxa"/>
            <w:vAlign w:val="bottom"/>
            <w:gridSpan w:val="2"/>
          </w:tcPr>
          <w:p>
            <w:pPr>
              <w:jc w:val="center"/>
              <w:ind w:right="2460"/>
              <w:spacing w:after="0"/>
              <w:rPr>
                <w:sz w:val="20"/>
                <w:szCs w:val="20"/>
                <w:color w:val="auto"/>
              </w:rPr>
            </w:pPr>
            <w:r>
              <w:rPr>
                <w:rFonts w:ascii="Arial" w:cs="Arial" w:eastAsia="Arial" w:hAnsi="Arial"/>
                <w:sz w:val="14"/>
                <w:szCs w:val="14"/>
                <w:b w:val="1"/>
                <w:bCs w:val="1"/>
                <w:color w:val="auto"/>
                <w:w w:val="90"/>
              </w:rPr>
              <w:t>President and Chief Executive Officer</w:t>
            </w:r>
          </w:p>
        </w:tc>
        <w:tc>
          <w:tcPr>
            <w:tcW w:w="4620" w:type="dxa"/>
            <w:vAlign w:val="bottom"/>
          </w:tcPr>
          <w:p>
            <w:pPr>
              <w:jc w:val="center"/>
              <w:ind w:left="264"/>
              <w:spacing w:after="0"/>
              <w:rPr>
                <w:sz w:val="20"/>
                <w:szCs w:val="20"/>
                <w:color w:val="auto"/>
              </w:rPr>
            </w:pPr>
            <w:r>
              <w:rPr>
                <w:rFonts w:ascii="Arial" w:cs="Arial" w:eastAsia="Arial" w:hAnsi="Arial"/>
                <w:sz w:val="14"/>
                <w:szCs w:val="14"/>
                <w:b w:val="1"/>
                <w:bCs w:val="1"/>
                <w:color w:val="auto"/>
                <w:w w:val="90"/>
              </w:rPr>
              <w:t>Vice President and Chief Financial Officer</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audited the internal control over financial reporting of Matrix Service Company and subsidiaries (the “Company”) as of June 30,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2022 based on criteria established in Internal Control - Integrated Framework (2013) issued by COSO.</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June 30, 2022, of the Company and our report dated October 11, 2022, expressed an unqualified opinion on those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Tulsa, Oklahoma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Matrix Service Company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4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have audited the accompanying consolidated balance sheets of Matrix Service Company and subsidiaries (the "Company") as of June 30, 2022 and 2021, the related consolidated statements of income, comprehensive income, cash flows, and changes in stockholders' equity for each of the three years in the period ended June 30, 2022 and the related notes and the schedule listed in the Index at Item 8 (collectively referred to as the "financial statements"). In our opinion, the financial statements present fairly, in all material respects, the financial position of the Company as of June 30, 2022 and 2021, and the results of its operations and its cash flows for each of the three years in the period ended June 30, 2022, in conformity with accounting principles generally accepted in the United States of America.</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Company's internal control over financial reporting as of June 30, 2022, based on criteria established in Internal Control — Integrated Framework (2013) issued by the Committee of Sponsoring Organizations of the Treadway Commission and our report dated October 11, 2022 expressed an unqualified opinion on the Company's internal control over financial reporting.</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1" w:lineRule="exact"/>
        <w:rPr>
          <w:sz w:val="20"/>
          <w:szCs w:val="20"/>
          <w:color w:val="auto"/>
        </w:rPr>
      </w:pPr>
    </w:p>
    <w:p>
      <w:pPr>
        <w:ind w:right="4960"/>
        <w:spacing w:after="0" w:line="454" w:lineRule="auto"/>
        <w:rPr>
          <w:sz w:val="20"/>
          <w:szCs w:val="20"/>
          <w:color w:val="auto"/>
        </w:rPr>
      </w:pPr>
      <w:r>
        <w:rPr>
          <w:rFonts w:ascii="Arial" w:cs="Arial" w:eastAsia="Arial" w:hAnsi="Arial"/>
          <w:sz w:val="17"/>
          <w:szCs w:val="17"/>
          <w:b w:val="1"/>
          <w:bCs w:val="1"/>
          <w:color w:val="auto"/>
        </w:rPr>
        <w:t xml:space="preserve">Revenue – Fixed Price Contracts – Refer to Notes 1 and 2 to the financial statements </w:t>
      </w:r>
      <w:r>
        <w:rPr>
          <w:rFonts w:ascii="Arial" w:cs="Arial" w:eastAsia="Arial" w:hAnsi="Arial"/>
          <w:sz w:val="17"/>
          <w:szCs w:val="17"/>
          <w:i w:val="1"/>
          <w:iCs w:val="1"/>
          <w:color w:val="auto"/>
        </w:rPr>
        <w:t>Critical Audit Matter Description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enters into contracts with customers to provide engineering, procurement, and fabrication and construction services, usually provided in association with capital projects, which commonly are fixed price contracts and are billed based on project milestones. Revenue on performance obligations associated with fixed-price contracts is recognized over time since these services create or enhance assets the customer controls as they are being created or enhanced. The Company measures progress of satisfying these performance obligations by using the percentage-of-completion method, which is based on costs incurred to date compared to the total estimated costs at completion. Due to the nature of work left to be performed on many of the Company’s contracts, the estimation of total cost at completion for fixed price contracts is complex, subject to many variables and requires significant judgment. For the fiscal year ended June 30, 2022, revenue totaled $707.8 million, of which $421.2 million related to fixed-price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Given the significant judgment necessary to estimate total costs at completion for fixed price contracts, auditing these estimates required extensive audit effort due to the volume and complexity of the fixed price contracts and a high degree of auditor judgment when evaluating the results of audit procedures, including the involvement of our capital projects specialists for two selected fixed price contracts.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estimated total costs at completion for fixed price contracts included the following, among others:</w:t>
      </w:r>
    </w:p>
    <w:p>
      <w:pPr>
        <w:spacing w:after="0" w:line="159" w:lineRule="exact"/>
        <w:rPr>
          <w:sz w:val="20"/>
          <w:szCs w:val="20"/>
          <w:color w:val="auto"/>
        </w:rPr>
      </w:pPr>
    </w:p>
    <w:p>
      <w:pPr>
        <w:ind w:left="640" w:hanging="320"/>
        <w:spacing w:after="0" w:line="273"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tested the effectiveness of controls over the recognition of revenue for fixed price contracts, including management’s controls over estimates of total costs at completion.</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evaluated the appropriateness and consistency of the methods and assumptions used by management to estimate total costs on fixed price contracts.</w:t>
      </w:r>
    </w:p>
    <w:p>
      <w:pPr>
        <w:spacing w:after="0" w:line="181" w:lineRule="exact"/>
        <w:rPr>
          <w:rFonts w:ascii="Arial" w:cs="Arial" w:eastAsia="Arial" w:hAnsi="Arial"/>
          <w:sz w:val="15"/>
          <w:szCs w:val="15"/>
          <w:color w:val="auto"/>
        </w:rPr>
      </w:pPr>
    </w:p>
    <w:p>
      <w:pPr>
        <w:ind w:left="640" w:hanging="320"/>
        <w:spacing w:after="0" w:line="273"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evaluated management’s ability to accurately estimate contract costs by comparing current gross margin to historical gross margin for certain fixed price contracts open and completed during each quarter.</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selected a sample of fixed price contracts and performed the following:</w:t>
      </w:r>
    </w:p>
    <w:p>
      <w:pPr>
        <w:spacing w:after="0" w:line="158" w:lineRule="exact"/>
        <w:rPr>
          <w:rFonts w:ascii="Arial" w:cs="Arial" w:eastAsia="Arial" w:hAnsi="Arial"/>
          <w:sz w:val="17"/>
          <w:szCs w:val="17"/>
          <w:color w:val="auto"/>
        </w:rPr>
      </w:pPr>
    </w:p>
    <w:p>
      <w:pPr>
        <w:ind w:left="1260" w:hanging="311"/>
        <w:spacing w:after="0" w:line="257" w:lineRule="auto"/>
        <w:tabs>
          <w:tab w:leader="none" w:pos="1256"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gross margin changes over time for each selected contract from bid date to the testing date to evaluate management’s historical and current estimates of total costs at completion.</w:t>
      </w:r>
    </w:p>
    <w:p>
      <w:pPr>
        <w:spacing w:after="0" w:line="119" w:lineRule="exact"/>
        <w:rPr>
          <w:rFonts w:ascii="Arial" w:cs="Arial" w:eastAsia="Arial" w:hAnsi="Arial"/>
          <w:sz w:val="17"/>
          <w:szCs w:val="17"/>
          <w:color w:val="auto"/>
        </w:rPr>
      </w:pPr>
    </w:p>
    <w:p>
      <w:pPr>
        <w:jc w:val="both"/>
        <w:ind w:left="1260" w:hanging="311"/>
        <w:spacing w:after="0" w:line="257" w:lineRule="auto"/>
        <w:tabs>
          <w:tab w:leader="none" w:pos="1256"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management’s ability to estimate total costs at completion for each selected contract by performing corroborating inquiries with the Company’s project managers and personnel involved with the selected contracts, including inquiries related to the timeline to completion and estimates of future costs to complete the contract.</w:t>
      </w:r>
    </w:p>
    <w:p>
      <w:pPr>
        <w:spacing w:after="0" w:line="119" w:lineRule="exact"/>
        <w:rPr>
          <w:rFonts w:ascii="Arial" w:cs="Arial" w:eastAsia="Arial" w:hAnsi="Arial"/>
          <w:sz w:val="17"/>
          <w:szCs w:val="17"/>
          <w:color w:val="auto"/>
        </w:rPr>
      </w:pPr>
    </w:p>
    <w:p>
      <w:pPr>
        <w:ind w:left="1260" w:hanging="311"/>
        <w:spacing w:after="0" w:line="273" w:lineRule="auto"/>
        <w:tabs>
          <w:tab w:leader="none" w:pos="1256" w:val="left"/>
        </w:tabs>
        <w:numPr>
          <w:ilvl w:val="1"/>
          <w:numId w:val="29"/>
        </w:numPr>
        <w:rPr>
          <w:rFonts w:ascii="Arial" w:cs="Arial" w:eastAsia="Arial" w:hAnsi="Arial"/>
          <w:sz w:val="17"/>
          <w:szCs w:val="17"/>
          <w:color w:val="auto"/>
        </w:rPr>
      </w:pPr>
      <w:r>
        <w:rPr>
          <w:rFonts w:ascii="Arial" w:cs="Arial" w:eastAsia="Arial" w:hAnsi="Arial"/>
          <w:sz w:val="17"/>
          <w:szCs w:val="17"/>
          <w:color w:val="auto"/>
        </w:rPr>
        <w:t>Selected a sample of estimates of future costs to complete for certain selected fixed price contracts and evaluated management’s estimates of total costs at completion by performing one of the following:</w:t>
      </w:r>
    </w:p>
    <w:p>
      <w:pPr>
        <w:spacing w:after="0" w:line="106" w:lineRule="exact"/>
        <w:rPr>
          <w:rFonts w:ascii="Arial" w:cs="Arial" w:eastAsia="Arial" w:hAnsi="Arial"/>
          <w:sz w:val="17"/>
          <w:szCs w:val="17"/>
          <w:color w:val="auto"/>
        </w:rPr>
      </w:pPr>
    </w:p>
    <w:p>
      <w:pPr>
        <w:ind w:left="1900" w:hanging="321"/>
        <w:spacing w:after="0" w:line="273" w:lineRule="auto"/>
        <w:tabs>
          <w:tab w:leader="none" w:pos="1896" w:val="left"/>
        </w:tabs>
        <w:numPr>
          <w:ilvl w:val="2"/>
          <w:numId w:val="29"/>
        </w:numPr>
        <w:rPr>
          <w:rFonts w:ascii="Arial" w:cs="Arial" w:eastAsia="Arial" w:hAnsi="Arial"/>
          <w:sz w:val="17"/>
          <w:szCs w:val="17"/>
          <w:color w:val="auto"/>
        </w:rPr>
      </w:pPr>
      <w:r>
        <w:rPr>
          <w:rFonts w:ascii="Arial" w:cs="Arial" w:eastAsia="Arial" w:hAnsi="Arial"/>
          <w:sz w:val="17"/>
          <w:szCs w:val="17"/>
          <w:color w:val="auto"/>
        </w:rPr>
        <w:t>Comparing management’s estimates to documents such as management’s work plans, customer purchase orders, third-party invoices from suppliers, and subcontractor agreements.</w:t>
      </w:r>
    </w:p>
    <w:p>
      <w:pPr>
        <w:spacing w:after="0" w:line="106" w:lineRule="exact"/>
        <w:rPr>
          <w:rFonts w:ascii="Arial" w:cs="Arial" w:eastAsia="Arial" w:hAnsi="Arial"/>
          <w:sz w:val="17"/>
          <w:szCs w:val="17"/>
          <w:color w:val="auto"/>
        </w:rPr>
      </w:pPr>
    </w:p>
    <w:p>
      <w:pPr>
        <w:jc w:val="both"/>
        <w:ind w:left="1900" w:hanging="321"/>
        <w:spacing w:after="0" w:line="257" w:lineRule="auto"/>
        <w:tabs>
          <w:tab w:leader="none" w:pos="1936" w:val="left"/>
        </w:tabs>
        <w:numPr>
          <w:ilvl w:val="2"/>
          <w:numId w:val="29"/>
        </w:numPr>
        <w:rPr>
          <w:rFonts w:ascii="Arial" w:cs="Arial" w:eastAsia="Arial" w:hAnsi="Arial"/>
          <w:sz w:val="17"/>
          <w:szCs w:val="17"/>
          <w:color w:val="auto"/>
        </w:rPr>
      </w:pPr>
      <w:r>
        <w:rPr>
          <w:rFonts w:ascii="Arial" w:cs="Arial" w:eastAsia="Arial" w:hAnsi="Arial"/>
          <w:sz w:val="17"/>
          <w:szCs w:val="17"/>
          <w:color w:val="auto"/>
        </w:rPr>
        <w:t>Developing independent estimates of total costs to completion and compared our estimates to management’s estimates. Our independent estimates were based on information such as management’s work plans, customer purchase orders, third-party invoices from suppliers, subcontractor agreements, and similar historical project experience.</w:t>
      </w:r>
    </w:p>
    <w:p>
      <w:pPr>
        <w:spacing w:after="0" w:line="119" w:lineRule="exact"/>
        <w:rPr>
          <w:rFonts w:ascii="Arial" w:cs="Arial" w:eastAsia="Arial" w:hAnsi="Arial"/>
          <w:sz w:val="17"/>
          <w:szCs w:val="17"/>
          <w:color w:val="auto"/>
        </w:rPr>
      </w:pPr>
    </w:p>
    <w:p>
      <w:pPr>
        <w:ind w:left="1260" w:hanging="311"/>
        <w:spacing w:after="0" w:line="273" w:lineRule="auto"/>
        <w:tabs>
          <w:tab w:leader="none" w:pos="1256" w:val="left"/>
        </w:tabs>
        <w:numPr>
          <w:ilvl w:val="1"/>
          <w:numId w:val="29"/>
        </w:numPr>
        <w:rPr>
          <w:rFonts w:ascii="Arial" w:cs="Arial" w:eastAsia="Arial" w:hAnsi="Arial"/>
          <w:sz w:val="17"/>
          <w:szCs w:val="17"/>
          <w:color w:val="auto"/>
        </w:rPr>
      </w:pPr>
      <w:r>
        <w:rPr>
          <w:rFonts w:ascii="Arial" w:cs="Arial" w:eastAsia="Arial" w:hAnsi="Arial"/>
          <w:sz w:val="17"/>
          <w:szCs w:val="17"/>
          <w:color w:val="auto"/>
        </w:rPr>
        <w:t>For two selected fixed price contracts, we used our capital projects specialists to assist us in evaluating (1) management’s ability to estimate total costs at completion and (2) management’s estimates of total costs at completion.</w:t>
      </w:r>
    </w:p>
    <w:p>
      <w:pPr>
        <w:spacing w:after="0" w:line="87" w:lineRule="exact"/>
        <w:rPr>
          <w:sz w:val="20"/>
          <w:szCs w:val="20"/>
          <w:color w:val="auto"/>
        </w:rPr>
      </w:pPr>
    </w:p>
    <w:p>
      <w:pPr>
        <w:ind w:right="4740"/>
        <w:spacing w:after="0" w:line="438" w:lineRule="auto"/>
        <w:rPr>
          <w:sz w:val="20"/>
          <w:szCs w:val="20"/>
          <w:color w:val="auto"/>
        </w:rPr>
      </w:pPr>
      <w:r>
        <w:rPr>
          <w:rFonts w:ascii="Arial" w:cs="Arial" w:eastAsia="Arial" w:hAnsi="Arial"/>
          <w:sz w:val="17"/>
          <w:szCs w:val="17"/>
          <w:b w:val="1"/>
          <w:bCs w:val="1"/>
          <w:color w:val="auto"/>
        </w:rPr>
        <w:t xml:space="preserve">Goodwill – Certain Reporting Units – Refer to Notes 1 and 4 to the financial statements </w:t>
      </w:r>
      <w:r>
        <w:rPr>
          <w:rFonts w:ascii="Arial" w:cs="Arial" w:eastAsia="Arial" w:hAnsi="Arial"/>
          <w:sz w:val="17"/>
          <w:szCs w:val="17"/>
          <w:i w:val="1"/>
          <w:iCs w:val="1"/>
          <w:color w:val="auto"/>
        </w:rPr>
        <w:t>Critical Audit Matter Description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 Company’s evaluation of goodwill for impairment involves the comparison of management’s estimate of the fair value of each reporting unit to its carrying value. The estimated fair value of each reporting unit was derived primarily by utilizing a discounted cash flow analysis based on the Company’s operating and capital budgets and strategic plan. Significant judgments and assumptions including the revenue growth rate, forecasted gross margins, and discount rate are inherent in the fair value estimates. The use of alternate judgments and/or assumptions could result in a fair value that differs from management’s estimate and could result in the recognition of additional impairment charges in the financial statements. The Company performed goodwill impairment tests as of March 31, 2022 and May 31, 2022, which resulted in $18.3 million of total impairment to goodwill in the third quarter of fiscal year 2022 and no impairment of goodwill in the fourth quarter of fiscal year 2022, respectively. Four reporting units with a combined total of $33.8 million of goodwill as of June 30, 2022 were at higher risk of future impairment than others and their estimated fair values exceed their carrying values by 4% to 23%. The Company’s total goodwill was $42.1 million as of June 30, 2022.</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identified goodwill for four identified reporting units with a combined total of $33.8 million of goodwill as a critical audit matter because of the significant judgments made by management to estimate the fair values of these reporting units. This required a high degree of auditor judgment and an increased extent of effort, including the need to involve our fair value specialists, when performing audit procedures to evaluate the reasonableness of management’s estimates and assumptions related to the revenue growth rate, forecasted gross margins, and discount rate.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audit procedures related to the revenue growth rate, forecasted gross margins, and the discount rate used by management to estimate the fair value of the three identified reporting units included the following, among others:</w:t>
      </w:r>
    </w:p>
    <w:p>
      <w:pPr>
        <w:spacing w:after="0" w:line="106" w:lineRule="exact"/>
        <w:rPr>
          <w:sz w:val="20"/>
          <w:szCs w:val="20"/>
          <w:color w:val="auto"/>
        </w:rPr>
      </w:pPr>
    </w:p>
    <w:p>
      <w:pPr>
        <w:jc w:val="both"/>
        <w:ind w:left="640" w:hanging="320"/>
        <w:spacing w:after="0" w:line="249"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determination of the fair value of the four identified reporting units, such as controls related to management’s selection of the revenue growth rate and discount rate and forecasts of gross margins.</w:t>
      </w:r>
    </w:p>
    <w:p>
      <w:pPr>
        <w:spacing w:after="0" w:line="112" w:lineRule="exact"/>
        <w:rPr>
          <w:rFonts w:ascii="Arial" w:cs="Arial" w:eastAsia="Arial" w:hAnsi="Arial"/>
          <w:sz w:val="17"/>
          <w:szCs w:val="17"/>
          <w:color w:val="auto"/>
        </w:rPr>
      </w:pPr>
    </w:p>
    <w:p>
      <w:pPr>
        <w:ind w:left="640" w:hanging="320"/>
        <w:spacing w:after="0" w:line="257"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evaluated management’s ability to accurately forecast the revenue growth rate and future gross margins by comparing actual results to management’s historical forecasts.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evaluated the reasonableness of management’s revenue growth rate and forecasted gross margins by comparing the forecasts to:</w:t>
      </w:r>
    </w:p>
    <w:p>
      <w:pPr>
        <w:spacing w:after="0" w:line="145" w:lineRule="exact"/>
        <w:rPr>
          <w:rFonts w:ascii="Arial" w:cs="Arial" w:eastAsia="Arial" w:hAnsi="Arial"/>
          <w:sz w:val="17"/>
          <w:szCs w:val="17"/>
          <w:color w:val="auto"/>
        </w:rPr>
      </w:pPr>
    </w:p>
    <w:p>
      <w:pPr>
        <w:ind w:left="1260" w:hanging="311"/>
        <w:spacing w:after="0"/>
        <w:tabs>
          <w:tab w:leader="none" w:pos="12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Historical revenue growth and gross margins.</w:t>
      </w:r>
    </w:p>
    <w:p>
      <w:pPr>
        <w:spacing w:after="0" w:line="145" w:lineRule="exact"/>
        <w:rPr>
          <w:rFonts w:ascii="Arial" w:cs="Arial" w:eastAsia="Arial" w:hAnsi="Arial"/>
          <w:sz w:val="17"/>
          <w:szCs w:val="17"/>
          <w:color w:val="auto"/>
        </w:rPr>
      </w:pPr>
    </w:p>
    <w:p>
      <w:pPr>
        <w:ind w:left="1260" w:hanging="311"/>
        <w:spacing w:after="0" w:line="257" w:lineRule="auto"/>
        <w:tabs>
          <w:tab w:leader="none" w:pos="1256"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Internal communications to management and the Board of Directors, including other forward estimates prepared or used by management for other accounting estimates.</w:t>
      </w:r>
    </w:p>
    <w:p>
      <w:pPr>
        <w:spacing w:after="0" w:line="119" w:lineRule="exact"/>
        <w:rPr>
          <w:rFonts w:ascii="Arial" w:cs="Arial" w:eastAsia="Arial" w:hAnsi="Arial"/>
          <w:sz w:val="17"/>
          <w:szCs w:val="17"/>
          <w:color w:val="auto"/>
        </w:rPr>
      </w:pPr>
    </w:p>
    <w:p>
      <w:pPr>
        <w:ind w:left="1260" w:hanging="311"/>
        <w:spacing w:after="0"/>
        <w:tabs>
          <w:tab w:leader="none" w:pos="12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Remaining performance obligations.</w:t>
      </w:r>
    </w:p>
    <w:p>
      <w:pPr>
        <w:spacing w:after="0" w:line="145" w:lineRule="exact"/>
        <w:rPr>
          <w:rFonts w:ascii="Arial" w:cs="Arial" w:eastAsia="Arial" w:hAnsi="Arial"/>
          <w:sz w:val="17"/>
          <w:szCs w:val="17"/>
          <w:color w:val="auto"/>
        </w:rPr>
      </w:pPr>
    </w:p>
    <w:p>
      <w:pPr>
        <w:ind w:left="1260" w:hanging="311"/>
        <w:spacing w:after="0" w:line="257" w:lineRule="auto"/>
        <w:tabs>
          <w:tab w:leader="none" w:pos="1256"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Information included in Company press releases as well as in analyst and industry reports for the Company and certain of its peer companies and in industry outlooks.</w:t>
      </w:r>
    </w:p>
    <w:p>
      <w:pPr>
        <w:spacing w:after="0" w:line="105" w:lineRule="exact"/>
        <w:rPr>
          <w:rFonts w:ascii="Arial" w:cs="Arial" w:eastAsia="Arial" w:hAnsi="Arial"/>
          <w:sz w:val="17"/>
          <w:szCs w:val="17"/>
          <w:color w:val="auto"/>
        </w:rPr>
      </w:pPr>
    </w:p>
    <w:p>
      <w:pPr>
        <w:jc w:val="both"/>
        <w:ind w:left="640" w:hanging="320"/>
        <w:spacing w:after="0" w:line="249"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and (2)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Tulsa, Oklahoma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Fiscal Years Ended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28"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1"/>
                <w:szCs w:val="11"/>
                <w:color w:val="auto"/>
              </w:rPr>
            </w:pPr>
          </w:p>
        </w:tc>
        <w:tc>
          <w:tcPr>
            <w:tcW w:w="1240" w:type="dxa"/>
            <w:vAlign w:val="bottom"/>
          </w:tcPr>
          <w:p>
            <w:pPr>
              <w:jc w:val="right"/>
              <w:ind w:right="454"/>
              <w:spacing w:after="0" w:line="128"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8"/>
        </w:trPr>
        <w:tc>
          <w:tcPr>
            <w:tcW w:w="6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1"/>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707,780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1,100,938</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708,986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640,633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998,762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(loss)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102,176</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67,690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69,756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86,276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and other intangible asset impairment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38,515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Restructuring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(36,625)</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0" w:type="dxa"/>
            <w:vAlign w:val="bottom"/>
          </w:tcPr>
          <w:p>
            <w:pPr>
              <w:spacing w:after="0"/>
              <w:rPr>
                <w:sz w:val="1"/>
                <w:szCs w:val="1"/>
                <w:color w:val="auto"/>
              </w:rPr>
            </w:pPr>
          </w:p>
        </w:tc>
      </w:tr>
      <w:tr>
        <w:trPr>
          <w:trHeight w:val="223"/>
        </w:trPr>
        <w:tc>
          <w:tcPr>
            <w:tcW w:w="6320" w:type="dxa"/>
            <w:vAlign w:val="bottom"/>
          </w:tcPr>
          <w:p>
            <w:pPr>
              <w:ind w:left="34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1,270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(Note 3)</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Loss before income tax expense (benefit)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(58,283)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(43,263)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(36,644)</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(benefit) for federal, state and foreign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(33,074)</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loss per common share</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vMerge w:val="continue"/>
          </w:tcPr>
          <w:p>
            <w:pPr>
              <w:spacing w:after="0"/>
              <w:rPr>
                <w:sz w:val="16"/>
                <w:szCs w:val="16"/>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6"/>
                <w:szCs w:val="16"/>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4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26,621</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26,621</w:t>
            </w: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Fiscal Years Ended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6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6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28"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1"/>
                <w:szCs w:val="11"/>
                <w:color w:val="auto"/>
              </w:rPr>
            </w:pPr>
          </w:p>
        </w:tc>
        <w:tc>
          <w:tcPr>
            <w:tcW w:w="1240" w:type="dxa"/>
            <w:vAlign w:val="bottom"/>
          </w:tcPr>
          <w:p>
            <w:pPr>
              <w:jc w:val="right"/>
              <w:ind w:right="460"/>
              <w:spacing w:after="0" w:line="128" w:lineRule="exact"/>
              <w:rPr>
                <w:sz w:val="20"/>
                <w:szCs w:val="20"/>
                <w:color w:val="auto"/>
              </w:rPr>
            </w:pPr>
            <w:r>
              <w:rPr>
                <w:rFonts w:ascii="Arial" w:cs="Arial" w:eastAsia="Arial" w:hAnsi="Arial"/>
                <w:sz w:val="14"/>
                <w:szCs w:val="14"/>
                <w:b w:val="1"/>
                <w:bCs w:val="1"/>
                <w:color w:val="auto"/>
              </w:rPr>
              <w:t>June 30,</w:t>
            </w:r>
          </w:p>
        </w:tc>
      </w:tr>
      <w:tr>
        <w:trPr>
          <w:trHeight w:val="188"/>
        </w:trPr>
        <w:tc>
          <w:tcPr>
            <w:tcW w:w="6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r>
      <w:tr>
        <w:trPr>
          <w:trHeight w:val="221"/>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(33,074)</w:t>
            </w: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Other comprehensive loss, net of tax:</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5"/>
        </w:trPr>
        <w:tc>
          <w:tcPr>
            <w:tcW w:w="632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w w:val="97"/>
              </w:rPr>
              <w:t>Foreign currency translation gain (loss) (net of tax expense (benefit) of $71, $223</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2"/>
        </w:trPr>
        <w:tc>
          <w:tcPr>
            <w:tcW w:w="63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and $(88) for the fiscal years ended June 30, 2022, 2021 and 2020,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w:t>
            </w: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(65,326)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(29,600)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(33,696)</w:t>
            </w: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10"/>
        </w:trPr>
        <w:tc>
          <w:tcPr>
            <w:tcW w:w="8000" w:type="dxa"/>
            <w:vAlign w:val="bottom"/>
          </w:tcPr>
          <w:p>
            <w:pPr>
              <w:ind w:left="3720"/>
              <w:spacing w:after="0"/>
              <w:rPr>
                <w:sz w:val="20"/>
                <w:szCs w:val="20"/>
                <w:color w:val="auto"/>
              </w:rPr>
            </w:pPr>
            <w:r>
              <w:rPr>
                <w:rFonts w:ascii="Arial" w:cs="Arial" w:eastAsia="Arial" w:hAnsi="Arial"/>
                <w:sz w:val="17"/>
                <w:szCs w:val="17"/>
                <w:b w:val="1"/>
                <w:bCs w:val="1"/>
                <w:color w:val="auto"/>
              </w:rPr>
              <w:t>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52,371</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83,878</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receivable, less allowances (2022 - $1,320; 2021 - $898)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148,030</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44,752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30,774</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7,342</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Income taxes receivable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16,965</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4,230</w:t>
            </w:r>
          </w:p>
        </w:tc>
      </w:tr>
      <w:tr>
        <w:trPr>
          <w:trHeight w:val="216"/>
        </w:trPr>
        <w:tc>
          <w:tcPr>
            <w:tcW w:w="800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287,412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291,219</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000" w:type="dxa"/>
            <w:vAlign w:val="bottom"/>
          </w:tcPr>
          <w:p>
            <w:pPr>
              <w:ind w:left="20"/>
              <w:spacing w:after="0"/>
              <w:rPr>
                <w:sz w:val="20"/>
                <w:szCs w:val="20"/>
                <w:color w:val="auto"/>
              </w:rPr>
            </w:pPr>
            <w:r>
              <w:rPr>
                <w:rFonts w:ascii="Arial" w:cs="Arial" w:eastAsia="Arial" w:hAnsi="Arial"/>
                <w:sz w:val="17"/>
                <w:szCs w:val="17"/>
                <w:color w:val="auto"/>
              </w:rPr>
              <w:t>Property, plant and equipment -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69,407</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22,412</w:t>
            </w:r>
          </w:p>
        </w:tc>
      </w:tr>
      <w:tr>
        <w:trPr>
          <w:trHeight w:val="223"/>
        </w:trPr>
        <w:tc>
          <w:tcPr>
            <w:tcW w:w="8000" w:type="dxa"/>
            <w:vAlign w:val="bottom"/>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60,636</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intangible assets, net of accumulated amortization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6,614</w:t>
            </w:r>
          </w:p>
        </w:tc>
      </w:tr>
      <w:tr>
        <w:trPr>
          <w:trHeight w:val="223"/>
        </w:trPr>
        <w:tc>
          <w:tcPr>
            <w:tcW w:w="800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5,295</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non-current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11,973</w:t>
            </w:r>
          </w:p>
        </w:tc>
      </w:tr>
      <w:tr>
        <w:trPr>
          <w:trHeight w:val="216"/>
        </w:trPr>
        <w:tc>
          <w:tcPr>
            <w:tcW w:w="80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440,793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467,556</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 (continued)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10"/>
        </w:trPr>
        <w:tc>
          <w:tcPr>
            <w:tcW w:w="8000" w:type="dxa"/>
            <w:vAlign w:val="bottom"/>
          </w:tcPr>
          <w:p>
            <w:pPr>
              <w:ind w:left="2640"/>
              <w:spacing w:after="0"/>
              <w:rPr>
                <w:sz w:val="20"/>
                <w:szCs w:val="20"/>
                <w:color w:val="auto"/>
              </w:rPr>
            </w:pPr>
            <w:r>
              <w:rPr>
                <w:rFonts w:ascii="Arial" w:cs="Arial" w:eastAsia="Arial" w:hAnsi="Arial"/>
                <w:sz w:val="17"/>
                <w:szCs w:val="17"/>
                <w:b w:val="1"/>
                <w:bCs w:val="1"/>
                <w:color w:val="auto"/>
              </w:rPr>
              <w:t>Liabilities and stockholders’ equity</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74,886</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60,920</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Billings on uncompleted contracts in excess of costs and estimated earnings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53,832</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Accrued wages and benefits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21,008</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insurance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6,568</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5,747</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5,327</w:t>
            </w:r>
          </w:p>
        </w:tc>
      </w:tr>
      <w:tr>
        <w:trPr>
          <w:trHeight w:val="216"/>
        </w:trPr>
        <w:tc>
          <w:tcPr>
            <w:tcW w:w="800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177,785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153,402</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20,771</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Borrowings under asset-backed credit facility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liabilities, non-current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7,810</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182,017</w:t>
            </w:r>
          </w:p>
        </w:tc>
      </w:tr>
      <w:tr>
        <w:trPr>
          <w:trHeight w:val="223"/>
        </w:trPr>
        <w:tc>
          <w:tcPr>
            <w:tcW w:w="8000" w:type="dxa"/>
            <w:vAlign w:val="bottom"/>
          </w:tcPr>
          <w:p>
            <w:pPr>
              <w:ind w:left="20"/>
              <w:spacing w:after="0"/>
              <w:rPr>
                <w:sz w:val="20"/>
                <w:szCs w:val="20"/>
                <w:color w:val="auto"/>
              </w:rPr>
            </w:pPr>
            <w:r>
              <w:rPr>
                <w:rFonts w:ascii="Arial" w:cs="Arial" w:eastAsia="Arial" w:hAnsi="Arial"/>
                <w:sz w:val="17"/>
                <w:szCs w:val="17"/>
                <w:color w:val="auto"/>
              </w:rPr>
              <w:t>Commitments and contingencies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71"/>
        </w:trPr>
        <w:tc>
          <w:tcPr>
            <w:tcW w:w="8000" w:type="dxa"/>
            <w:vAlign w:val="bottom"/>
          </w:tcPr>
          <w:p>
            <w:pPr>
              <w:ind w:left="340"/>
              <w:spacing w:after="0" w:line="172" w:lineRule="exact"/>
              <w:rPr>
                <w:sz w:val="20"/>
                <w:szCs w:val="20"/>
                <w:color w:val="auto"/>
              </w:rPr>
            </w:pPr>
            <w:r>
              <w:rPr>
                <w:rFonts w:ascii="Arial" w:cs="Arial" w:eastAsia="Arial" w:hAnsi="Arial"/>
                <w:sz w:val="17"/>
                <w:szCs w:val="17"/>
                <w:color w:val="auto"/>
                <w:w w:val="96"/>
              </w:rPr>
              <w:t>Common stock—$.01 par value; 60,000,000 shares authorized; 27,888,217 shares issued as of June 30,</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4"/>
        </w:trPr>
        <w:tc>
          <w:tcPr>
            <w:tcW w:w="8000" w:type="dxa"/>
            <w:vAlign w:val="bottom"/>
          </w:tcPr>
          <w:p>
            <w:pPr>
              <w:ind w:left="340"/>
              <w:spacing w:after="0" w:line="184" w:lineRule="exact"/>
              <w:rPr>
                <w:sz w:val="20"/>
                <w:szCs w:val="20"/>
                <w:color w:val="auto"/>
              </w:rPr>
            </w:pPr>
            <w:r>
              <w:rPr>
                <w:rFonts w:ascii="Arial" w:cs="Arial" w:eastAsia="Arial" w:hAnsi="Arial"/>
                <w:sz w:val="17"/>
                <w:szCs w:val="17"/>
                <w:color w:val="auto"/>
                <w:w w:val="94"/>
              </w:rPr>
              <w:t>2022 and June 30, 2021; 26,790,514 and 26,549,438 shares outstanding as of June 30, 2022 and June 30,</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2"/>
        </w:trPr>
        <w:tc>
          <w:tcPr>
            <w:tcW w:w="8000" w:type="dxa"/>
            <w:vAlign w:val="bottom"/>
          </w:tcPr>
          <w:p>
            <w:pPr>
              <w:ind w:left="340"/>
              <w:spacing w:after="0"/>
              <w:rPr>
                <w:sz w:val="20"/>
                <w:szCs w:val="20"/>
                <w:color w:val="auto"/>
              </w:rPr>
            </w:pPr>
            <w:r>
              <w:rPr>
                <w:rFonts w:ascii="Arial" w:cs="Arial" w:eastAsia="Arial" w:hAnsi="Arial"/>
                <w:sz w:val="17"/>
                <w:szCs w:val="17"/>
                <w:color w:val="auto"/>
              </w:rPr>
              <w:t>2021, respectively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279</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137,575</w:t>
            </w:r>
          </w:p>
        </w:tc>
      </w:tr>
      <w:tr>
        <w:trPr>
          <w:trHeight w:val="223"/>
        </w:trPr>
        <w:tc>
          <w:tcPr>
            <w:tcW w:w="800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111,278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175,178</w:t>
            </w: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(6,749)</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243,236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306,283</w:t>
            </w:r>
          </w:p>
        </w:tc>
      </w:tr>
      <w:tr>
        <w:trPr>
          <w:trHeight w:val="171"/>
        </w:trPr>
        <w:tc>
          <w:tcPr>
            <w:tcW w:w="800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rPr>
              <w:t>Treasury stock, at cost — 1,097,703 and 1,338,779 shares as of June 30, 2022 and June 30, 2021,</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5"/>
        </w:trPr>
        <w:tc>
          <w:tcPr>
            <w:tcW w:w="8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respectively</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(15,530)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(20,744)</w:t>
            </w:r>
          </w:p>
        </w:tc>
      </w:tr>
      <w:tr>
        <w:trPr>
          <w:trHeight w:val="21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equity</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227,706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285,539</w:t>
            </w:r>
          </w:p>
        </w:tc>
      </w:tr>
      <w:tr>
        <w:trPr>
          <w:trHeight w:val="24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440,793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467,556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Fiscal Years Ended</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
        </w:trPr>
        <w:tc>
          <w:tcPr>
            <w:tcW w:w="6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6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28"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1"/>
                <w:szCs w:val="11"/>
                <w:color w:val="auto"/>
              </w:rPr>
            </w:pPr>
          </w:p>
        </w:tc>
        <w:tc>
          <w:tcPr>
            <w:tcW w:w="1240" w:type="dxa"/>
            <w:vAlign w:val="bottom"/>
          </w:tcPr>
          <w:p>
            <w:pPr>
              <w:jc w:val="right"/>
              <w:ind w:right="454"/>
              <w:spacing w:after="0" w:line="128" w:lineRule="exact"/>
              <w:rPr>
                <w:sz w:val="20"/>
                <w:szCs w:val="20"/>
                <w:color w:val="auto"/>
              </w:rPr>
            </w:pPr>
            <w:r>
              <w:rPr>
                <w:rFonts w:ascii="Arial" w:cs="Arial" w:eastAsia="Arial" w:hAnsi="Arial"/>
                <w:sz w:val="14"/>
                <w:szCs w:val="14"/>
                <w:b w:val="1"/>
                <w:bCs w:val="1"/>
                <w:color w:val="auto"/>
              </w:rPr>
              <w:t>June 30,</w:t>
            </w:r>
          </w:p>
        </w:tc>
      </w:tr>
      <w:tr>
        <w:trPr>
          <w:trHeight w:val="186"/>
        </w:trPr>
        <w:tc>
          <w:tcPr>
            <w:tcW w:w="6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10"/>
        </w:trPr>
        <w:tc>
          <w:tcPr>
            <w:tcW w:w="6320" w:type="dxa"/>
            <w:vAlign w:val="bottom"/>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(33,074)</w:t>
            </w: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Adjustments to reconcile net loss to net cash provided (used) by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19,124</w:t>
            </w: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Goodwill and other intangible asset impairment (Note 4)</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38,515</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Stock-based compensation expense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9,877</w:t>
            </w:r>
          </w:p>
        </w:tc>
      </w:tr>
      <w:tr>
        <w:trPr>
          <w:trHeight w:val="171"/>
        </w:trPr>
        <w:tc>
          <w:tcPr>
            <w:tcW w:w="6320" w:type="dxa"/>
            <w:vAlign w:val="bottom"/>
          </w:tcPr>
          <w:p>
            <w:pPr>
              <w:ind w:left="460"/>
              <w:spacing w:after="0" w:line="172" w:lineRule="exact"/>
              <w:rPr>
                <w:sz w:val="20"/>
                <w:szCs w:val="20"/>
                <w:color w:val="auto"/>
              </w:rPr>
            </w:pPr>
            <w:r>
              <w:rPr>
                <w:rFonts w:ascii="Arial" w:cs="Arial" w:eastAsia="Arial" w:hAnsi="Arial"/>
                <w:sz w:val="17"/>
                <w:szCs w:val="17"/>
                <w:color w:val="auto"/>
              </w:rPr>
              <w:t>Operating lease, fixed asset, and other intangible asset impairments due to</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5"/>
        </w:trPr>
        <w:tc>
          <w:tcPr>
            <w:tcW w:w="6320" w:type="dxa"/>
            <w:vAlign w:val="bottom"/>
          </w:tcPr>
          <w:p>
            <w:pPr>
              <w:ind w:left="460"/>
              <w:spacing w:after="0"/>
              <w:rPr>
                <w:sz w:val="20"/>
                <w:szCs w:val="20"/>
                <w:color w:val="auto"/>
              </w:rPr>
            </w:pPr>
            <w:r>
              <w:rPr>
                <w:rFonts w:ascii="Arial" w:cs="Arial" w:eastAsia="Arial" w:hAnsi="Arial"/>
                <w:sz w:val="17"/>
                <w:szCs w:val="17"/>
                <w:color w:val="auto"/>
              </w:rPr>
              <w:t>restructuring (Note 14)</w:t>
            </w:r>
          </w:p>
        </w:tc>
        <w:tc>
          <w:tcPr>
            <w:tcW w:w="3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5,215</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income tax</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w:t>
            </w: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Gain on sale of property, plant and equipment (Note 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(767)</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Provision for uncollectable accounts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Accelerated amortization of deferred debt amendment fees (Note 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increasing (decreasing) cash:</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56,603</w:t>
            </w: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36,535</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Other assets and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11,029</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(38,915)</w:t>
            </w:r>
          </w:p>
        </w:tc>
      </w:tr>
      <w:tr>
        <w:trPr>
          <w:trHeight w:val="223"/>
        </w:trPr>
        <w:tc>
          <w:tcPr>
            <w:tcW w:w="6320" w:type="dxa"/>
            <w:vAlign w:val="bottom"/>
          </w:tcPr>
          <w:p>
            <w:pPr>
              <w:ind w:left="460"/>
              <w:spacing w:after="0"/>
              <w:rPr>
                <w:sz w:val="20"/>
                <w:szCs w:val="20"/>
                <w:color w:val="auto"/>
              </w:rPr>
            </w:pPr>
            <w:r>
              <w:rPr>
                <w:rFonts w:ascii="Arial" w:cs="Arial" w:eastAsia="Arial" w:hAnsi="Arial"/>
                <w:sz w:val="17"/>
                <w:szCs w:val="17"/>
                <w:color w:val="auto"/>
              </w:rPr>
              <w:t>Billings on uncompleted contracts in excess of costs and estimated earnings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11,274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(41,737)</w:t>
            </w:r>
          </w:p>
        </w:tc>
      </w:tr>
      <w:tr>
        <w:trPr>
          <w:trHeight w:val="223"/>
        </w:trPr>
        <w:tc>
          <w:tcPr>
            <w:tcW w:w="6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(17,398)</w:t>
            </w: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Net cash provided (used) by operating activities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(54,196)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44,085</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(18,539)</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asset sales (Note 3)</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w:t>
            </w:r>
          </w:p>
        </w:tc>
      </w:tr>
      <w:tr>
        <w:trPr>
          <w:trHeight w:val="216"/>
        </w:trPr>
        <w:tc>
          <w:tcPr>
            <w:tcW w:w="6320" w:type="dxa"/>
            <w:vAlign w:val="bottom"/>
          </w:tcPr>
          <w:p>
            <w:pPr>
              <w:ind w:left="20"/>
              <w:spacing w:after="0"/>
              <w:rPr>
                <w:sz w:val="20"/>
                <w:szCs w:val="20"/>
                <w:color w:val="auto"/>
              </w:rPr>
            </w:pPr>
            <w:r>
              <w:rPr>
                <w:rFonts w:ascii="Arial" w:cs="Arial" w:eastAsia="Arial" w:hAnsi="Arial"/>
                <w:sz w:val="17"/>
                <w:szCs w:val="17"/>
                <w:color w:val="auto"/>
              </w:rPr>
              <w:t>Net cash provided (used) by investing activities</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35,673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(2,264)</w:t>
            </w:r>
          </w:p>
        </w:tc>
        <w:tc>
          <w:tcPr>
            <w:tcW w:w="100" w:type="dxa"/>
            <w:vAlign w:val="bottom"/>
          </w:tcPr>
          <w:p>
            <w:pPr>
              <w:spacing w:after="0"/>
              <w:rPr>
                <w:sz w:val="18"/>
                <w:szCs w:val="18"/>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(17,116)</w:t>
            </w: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Fiscal Years Ended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180"/>
              <w:spacing w:after="0" w:line="128"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1"/>
                <w:szCs w:val="11"/>
                <w:color w:val="auto"/>
              </w:rPr>
            </w:pPr>
          </w:p>
        </w:tc>
        <w:tc>
          <w:tcPr>
            <w:tcW w:w="1160" w:type="dxa"/>
            <w:vAlign w:val="bottom"/>
          </w:tcPr>
          <w:p>
            <w:pPr>
              <w:jc w:val="right"/>
              <w:ind w:right="374"/>
              <w:spacing w:after="0" w:line="128"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6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72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Advances under senior secured revolving credit facility</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18,567</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Repayments of advances under senior secured revolving credit facility</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(14,357)</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Advances under asset-backed credit facility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Repayments of advances under asset-backed credit facility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debt amendment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Open market purchase of treasury shares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(17,045)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Issuances of 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Proceeds from issuance of common stock under employee stock purchase plan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71"/>
        </w:trPr>
        <w:tc>
          <w:tcPr>
            <w:tcW w:w="67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Repurchase of common stock for payment of statutory taxes due on equity-based</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(used) by financing activities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10,321</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 (Note 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83,878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89,715</w:t>
            </w: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 (Note 1)</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100,036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(received) during the period for:</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460"/>
              <w:spacing w:after="0"/>
              <w:rPr>
                <w:sz w:val="20"/>
                <w:szCs w:val="20"/>
                <w:color w:val="auto"/>
              </w:rPr>
            </w:pPr>
            <w:r>
              <w:rPr>
                <w:rFonts w:ascii="Arial" w:cs="Arial" w:eastAsia="Arial" w:hAnsi="Arial"/>
                <w:sz w:val="17"/>
                <w:szCs w:val="17"/>
                <w:color w:val="auto"/>
              </w:rPr>
              <w:t>Income taxes</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6,394</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Interest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Non-cash investing and financing activities: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Purchases of property, plant and equipment on account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data)</w:t>
      </w:r>
    </w:p>
    <w:p>
      <w:pPr>
        <w:spacing w:after="0" w:line="120" w:lineRule="exact"/>
        <w:rPr>
          <w:sz w:val="20"/>
          <w:szCs w:val="20"/>
          <w:color w:val="auto"/>
        </w:rPr>
      </w:pPr>
    </w:p>
    <w:tbl>
      <w:tblPr>
        <w:tblLayout w:type="fixed"/>
        <w:tblInd w:w="50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760" w:type="dxa"/>
            <w:vAlign w:val="bottom"/>
            <w:vMerge w:val="restart"/>
          </w:tcPr>
          <w:p>
            <w:pPr>
              <w:jc w:val="center"/>
              <w:ind w:right="150"/>
              <w:spacing w:after="0" w:line="141" w:lineRule="exact"/>
              <w:rPr>
                <w:sz w:val="20"/>
                <w:szCs w:val="20"/>
                <w:color w:val="auto"/>
              </w:rPr>
            </w:pPr>
            <w:r>
              <w:rPr>
                <w:rFonts w:ascii="Arial" w:cs="Arial" w:eastAsia="Arial" w:hAnsi="Arial"/>
                <w:sz w:val="14"/>
                <w:szCs w:val="14"/>
                <w:b w:val="1"/>
                <w:bCs w:val="1"/>
                <w:color w:val="auto"/>
                <w:w w:val="88"/>
              </w:rPr>
              <w:t>Common</w:t>
            </w:r>
          </w:p>
        </w:tc>
        <w:tc>
          <w:tcPr>
            <w:tcW w:w="1060" w:type="dxa"/>
            <w:vAlign w:val="bottom"/>
            <w:vMerge w:val="continue"/>
          </w:tcPr>
          <w:p>
            <w:pPr>
              <w:spacing w:after="0"/>
              <w:rPr>
                <w:sz w:val="5"/>
                <w:szCs w:val="5"/>
                <w:color w:val="auto"/>
              </w:rPr>
            </w:pPr>
          </w:p>
        </w:tc>
        <w:tc>
          <w:tcPr>
            <w:tcW w:w="1000" w:type="dxa"/>
            <w:vAlign w:val="bottom"/>
            <w:vMerge w:val="restart"/>
          </w:tcPr>
          <w:p>
            <w:pPr>
              <w:ind w:left="220"/>
              <w:spacing w:after="0" w:line="141" w:lineRule="exact"/>
              <w:rPr>
                <w:sz w:val="20"/>
                <w:szCs w:val="20"/>
                <w:color w:val="auto"/>
              </w:rPr>
            </w:pPr>
            <w:r>
              <w:rPr>
                <w:rFonts w:ascii="Arial" w:cs="Arial" w:eastAsia="Arial" w:hAnsi="Arial"/>
                <w:sz w:val="14"/>
                <w:szCs w:val="14"/>
                <w:b w:val="1"/>
                <w:bCs w:val="1"/>
                <w:color w:val="auto"/>
              </w:rPr>
              <w:t>Retained</w:t>
            </w:r>
          </w:p>
        </w:tc>
        <w:tc>
          <w:tcPr>
            <w:tcW w:w="14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1"/>
              </w:rPr>
              <w:t>Treasury</w:t>
            </w: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760" w:type="dxa"/>
            <w:vAlign w:val="bottom"/>
            <w:vMerge w:val="continue"/>
          </w:tcPr>
          <w:p>
            <w:pPr>
              <w:spacing w:after="0"/>
              <w:rPr>
                <w:sz w:val="6"/>
                <w:szCs w:val="6"/>
                <w:color w:val="auto"/>
              </w:rPr>
            </w:pPr>
          </w:p>
        </w:tc>
        <w:tc>
          <w:tcPr>
            <w:tcW w:w="106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8"/>
              </w:rPr>
              <w:t>Paid-In</w:t>
            </w:r>
          </w:p>
        </w:tc>
        <w:tc>
          <w:tcPr>
            <w:tcW w:w="10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0" w:type="dxa"/>
            <w:vAlign w:val="bottom"/>
            <w:vMerge w:val="restart"/>
          </w:tcPr>
          <w:p>
            <w:pPr>
              <w:ind w:left="300"/>
              <w:spacing w:after="0" w:line="141"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6"/>
        </w:trPr>
        <w:tc>
          <w:tcPr>
            <w:tcW w:w="760" w:type="dxa"/>
            <w:vAlign w:val="bottom"/>
            <w:vMerge w:val="restart"/>
          </w:tcPr>
          <w:p>
            <w:pPr>
              <w:jc w:val="center"/>
              <w:ind w:right="150"/>
              <w:spacing w:after="0" w:line="145" w:lineRule="exact"/>
              <w:rPr>
                <w:sz w:val="20"/>
                <w:szCs w:val="20"/>
                <w:color w:val="auto"/>
              </w:rPr>
            </w:pPr>
            <w:r>
              <w:rPr>
                <w:rFonts w:ascii="Arial" w:cs="Arial" w:eastAsia="Arial" w:hAnsi="Arial"/>
                <w:sz w:val="14"/>
                <w:szCs w:val="14"/>
                <w:b w:val="1"/>
                <w:bCs w:val="1"/>
                <w:color w:val="auto"/>
                <w:w w:val="89"/>
              </w:rPr>
              <w:t>Stock</w:t>
            </w:r>
          </w:p>
        </w:tc>
        <w:tc>
          <w:tcPr>
            <w:tcW w:w="1060" w:type="dxa"/>
            <w:vAlign w:val="bottom"/>
            <w:vMerge w:val="continue"/>
          </w:tcPr>
          <w:p>
            <w:pPr>
              <w:spacing w:after="0"/>
              <w:rPr>
                <w:sz w:val="5"/>
                <w:szCs w:val="5"/>
                <w:color w:val="auto"/>
              </w:rPr>
            </w:pPr>
          </w:p>
        </w:tc>
        <w:tc>
          <w:tcPr>
            <w:tcW w:w="1000" w:type="dxa"/>
            <w:vAlign w:val="bottom"/>
            <w:vMerge w:val="restart"/>
          </w:tcPr>
          <w:p>
            <w:pPr>
              <w:ind w:left="220"/>
              <w:spacing w:after="0" w:line="145" w:lineRule="exact"/>
              <w:rPr>
                <w:sz w:val="20"/>
                <w:szCs w:val="20"/>
                <w:color w:val="auto"/>
              </w:rPr>
            </w:pPr>
            <w:r>
              <w:rPr>
                <w:rFonts w:ascii="Arial" w:cs="Arial" w:eastAsia="Arial" w:hAnsi="Arial"/>
                <w:sz w:val="14"/>
                <w:szCs w:val="14"/>
                <w:b w:val="1"/>
                <w:bCs w:val="1"/>
                <w:color w:val="auto"/>
              </w:rPr>
              <w:t>Earnings</w:t>
            </w:r>
          </w:p>
        </w:tc>
        <w:tc>
          <w:tcPr>
            <w:tcW w:w="140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08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60" w:type="dxa"/>
            <w:vAlign w:val="bottom"/>
            <w:vMerge w:val="continue"/>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7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Loss</w:t>
            </w: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8890</wp:posOffset>
            </wp:positionV>
            <wp:extent cx="7119620" cy="133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9620" cy="13335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tbl>
      <w:tblPr>
        <w:tblLayout w:type="fixed"/>
        <w:tblInd w:w="40" w:type="dxa"/>
        <w:tblCellMar>
          <w:top w:w="0" w:type="dxa"/>
          <w:left w:w="0" w:type="dxa"/>
          <w:bottom w:w="0" w:type="dxa"/>
          <w:right w:w="0" w:type="dxa"/>
        </w:tblCellMar>
      </w:tblPr>
      <w:tr>
        <w:trPr>
          <w:trHeight w:val="199"/>
        </w:trPr>
        <w:tc>
          <w:tcPr>
            <w:tcW w:w="4800" w:type="dxa"/>
            <w:vAlign w:val="bottom"/>
          </w:tcPr>
          <w:p>
            <w:pPr>
              <w:spacing w:after="0"/>
              <w:rPr>
                <w:sz w:val="20"/>
                <w:szCs w:val="20"/>
                <w:color w:val="auto"/>
              </w:rPr>
            </w:pPr>
            <w:r>
              <w:rPr>
                <w:rFonts w:ascii="Arial" w:cs="Arial" w:eastAsia="Arial" w:hAnsi="Arial"/>
                <w:sz w:val="14"/>
                <w:szCs w:val="14"/>
                <w:color w:val="auto"/>
              </w:rPr>
              <w:t>Balances, June 30, 2019</w:t>
            </w:r>
          </w:p>
        </w:tc>
        <w:tc>
          <w:tcPr>
            <w:tcW w:w="36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80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w w:val="98"/>
              </w:rPr>
              <w:t>Treasury Shares sold to Employee Stock Purchase Plan (20,733 shares)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Issuance of deferred shares (542,279 shares)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0" w:type="dxa"/>
            <w:vAlign w:val="bottom"/>
          </w:tcPr>
          <w:p>
            <w:pPr>
              <w:ind w:left="320"/>
              <w:spacing w:after="0"/>
              <w:rPr>
                <w:sz w:val="20"/>
                <w:szCs w:val="20"/>
                <w:color w:val="auto"/>
              </w:rPr>
            </w:pPr>
            <w:r>
              <w:rPr>
                <w:rFonts w:ascii="Arial" w:cs="Arial" w:eastAsia="Arial" w:hAnsi="Arial"/>
                <w:sz w:val="14"/>
                <w:szCs w:val="14"/>
                <w:color w:val="auto"/>
                <w:w w:val="95"/>
              </w:rPr>
              <w:t>Treasury shares repurchased to satisfy tax withholding obligations (181,081</w:t>
            </w:r>
          </w:p>
        </w:tc>
        <w:tc>
          <w:tcPr>
            <w:tcW w:w="3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80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320"/>
              <w:spacing w:after="0"/>
              <w:rPr>
                <w:sz w:val="20"/>
                <w:szCs w:val="20"/>
                <w:color w:val="auto"/>
              </w:rPr>
            </w:pPr>
            <w:r>
              <w:rPr>
                <w:rFonts w:ascii="Arial" w:cs="Arial" w:eastAsia="Arial" w:hAnsi="Arial"/>
                <w:sz w:val="14"/>
                <w:szCs w:val="14"/>
                <w:color w:val="auto"/>
              </w:rPr>
              <w:t>Open market purchases of treasury shares (1,047,606 shares)</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800" w:type="dxa"/>
            <w:vAlign w:val="bottom"/>
            <w:vMerge w:val="restart"/>
          </w:tcPr>
          <w:p>
            <w:pPr>
              <w:spacing w:after="0"/>
              <w:rPr>
                <w:sz w:val="20"/>
                <w:szCs w:val="20"/>
                <w:color w:val="auto"/>
              </w:rPr>
            </w:pPr>
            <w:r>
              <w:rPr>
                <w:rFonts w:ascii="Arial" w:cs="Arial" w:eastAsia="Arial" w:hAnsi="Arial"/>
                <w:sz w:val="14"/>
                <w:szCs w:val="14"/>
                <w:color w:val="auto"/>
              </w:rPr>
              <w:t>Balances, June 30, 2020</w:t>
            </w: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8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80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Other comprehensive income</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w w:val="98"/>
              </w:rPr>
              <w:t>Treasury Shares sold to Employee Stock Purchase Plan (29,171 shares)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Exercise of stock options (34,150 shares)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Issuance of deferred shares (515,218 shares)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0" w:type="dxa"/>
            <w:vAlign w:val="bottom"/>
          </w:tcPr>
          <w:p>
            <w:pPr>
              <w:ind w:left="320"/>
              <w:spacing w:after="0"/>
              <w:rPr>
                <w:sz w:val="20"/>
                <w:szCs w:val="20"/>
                <w:color w:val="auto"/>
              </w:rPr>
            </w:pPr>
            <w:r>
              <w:rPr>
                <w:rFonts w:ascii="Arial" w:cs="Arial" w:eastAsia="Arial" w:hAnsi="Arial"/>
                <w:sz w:val="14"/>
                <w:szCs w:val="14"/>
                <w:color w:val="auto"/>
                <w:w w:val="95"/>
              </w:rPr>
              <w:t>Treasury shares repurchased to satisfy tax withholding obligations (170,629</w:t>
            </w:r>
          </w:p>
        </w:tc>
        <w:tc>
          <w:tcPr>
            <w:tcW w:w="3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80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800" w:type="dxa"/>
            <w:vAlign w:val="bottom"/>
            <w:vMerge w:val="restart"/>
          </w:tcPr>
          <w:p>
            <w:pPr>
              <w:spacing w:after="0"/>
              <w:rPr>
                <w:sz w:val="20"/>
                <w:szCs w:val="20"/>
                <w:color w:val="auto"/>
              </w:rPr>
            </w:pPr>
            <w:r>
              <w:rPr>
                <w:rFonts w:ascii="Arial" w:cs="Arial" w:eastAsia="Arial" w:hAnsi="Arial"/>
                <w:sz w:val="14"/>
                <w:szCs w:val="14"/>
                <w:color w:val="auto"/>
              </w:rPr>
              <w:t>Balances, June 30, 2021</w:t>
            </w: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8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80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w w:val="98"/>
              </w:rPr>
              <w:t>Treasury Shares Sold to Employee Stock Purchase Plan (29,826 shares)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Exercise of stock options (19,550 shares)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320"/>
              <w:spacing w:after="0"/>
              <w:rPr>
                <w:sz w:val="20"/>
                <w:szCs w:val="20"/>
                <w:color w:val="auto"/>
              </w:rPr>
            </w:pPr>
            <w:r>
              <w:rPr>
                <w:rFonts w:ascii="Arial" w:cs="Arial" w:eastAsia="Arial" w:hAnsi="Arial"/>
                <w:sz w:val="14"/>
                <w:szCs w:val="14"/>
                <w:color w:val="auto"/>
              </w:rPr>
              <w:t>Issuance of deferred shares (268,403 shares)</w:t>
            </w: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0" w:type="dxa"/>
            <w:vAlign w:val="bottom"/>
          </w:tcPr>
          <w:p>
            <w:pPr>
              <w:ind w:left="320"/>
              <w:spacing w:after="0"/>
              <w:rPr>
                <w:sz w:val="20"/>
                <w:szCs w:val="20"/>
                <w:color w:val="auto"/>
              </w:rPr>
            </w:pPr>
            <w:r>
              <w:rPr>
                <w:rFonts w:ascii="Arial" w:cs="Arial" w:eastAsia="Arial" w:hAnsi="Arial"/>
                <w:sz w:val="14"/>
                <w:szCs w:val="14"/>
                <w:color w:val="auto"/>
                <w:w w:val="96"/>
              </w:rPr>
              <w:t>Treasury shares repurchased to satisfy tax withholding obligations (76,703</w:t>
            </w:r>
          </w:p>
        </w:tc>
        <w:tc>
          <w:tcPr>
            <w:tcW w:w="3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4800" w:type="dxa"/>
            <w:vAlign w:val="bottom"/>
            <w:vMerge w:val="restart"/>
          </w:tcPr>
          <w:p>
            <w:pPr>
              <w:ind w:left="3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800" w:type="dxa"/>
            <w:vAlign w:val="bottom"/>
          </w:tcPr>
          <w:p>
            <w:pPr>
              <w:ind w:left="3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800" w:type="dxa"/>
            <w:vAlign w:val="bottom"/>
            <w:vMerge w:val="restart"/>
          </w:tcPr>
          <w:p>
            <w:pPr>
              <w:spacing w:after="0"/>
              <w:rPr>
                <w:sz w:val="20"/>
                <w:szCs w:val="20"/>
                <w:color w:val="auto"/>
              </w:rPr>
            </w:pPr>
            <w:r>
              <w:rPr>
                <w:rFonts w:ascii="Arial" w:cs="Arial" w:eastAsia="Arial" w:hAnsi="Arial"/>
                <w:sz w:val="14"/>
                <w:szCs w:val="14"/>
                <w:color w:val="auto"/>
              </w:rPr>
              <w:t>Balances, June 30, 2022</w:t>
            </w: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800" w:type="dxa"/>
            <w:vAlign w:val="bottom"/>
            <w:vMerge w:val="continue"/>
          </w:tcPr>
          <w:p>
            <w:pPr>
              <w:spacing w:after="0"/>
              <w:rPr>
                <w:sz w:val="15"/>
                <w:szCs w:val="15"/>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-3180080</wp:posOffset>
            </wp:positionV>
            <wp:extent cx="7119620" cy="1250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9620"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-2930525</wp:posOffset>
            </wp:positionV>
            <wp:extent cx="7119620" cy="1250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9620"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-2597150</wp:posOffset>
            </wp:positionV>
            <wp:extent cx="7119620" cy="125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9620"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-2089150</wp:posOffset>
            </wp:positionV>
            <wp:extent cx="7119620" cy="125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9620"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-1839595</wp:posOffset>
            </wp:positionV>
            <wp:extent cx="7119620" cy="1250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9620"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-1590040</wp:posOffset>
            </wp:positionV>
            <wp:extent cx="7119620" cy="208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9620" cy="20828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-998855</wp:posOffset>
            </wp:positionV>
            <wp:extent cx="7119620" cy="1250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9620"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-748665</wp:posOffset>
            </wp:positionV>
            <wp:extent cx="7119620" cy="1250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9620"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-499110</wp:posOffset>
            </wp:positionV>
            <wp:extent cx="7119620" cy="208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9620" cy="20828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-165735</wp:posOffset>
            </wp:positionV>
            <wp:extent cx="7119620" cy="149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9620" cy="14986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-1256665</wp:posOffset>
            </wp:positionV>
            <wp:extent cx="7119620" cy="133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9620" cy="1333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-2347595</wp:posOffset>
            </wp:positionV>
            <wp:extent cx="7119620" cy="133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962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jc w:val="right"/>
              <w:ind w:right="90"/>
              <w:spacing w:after="0"/>
              <w:rPr>
                <w:sz w:val="20"/>
                <w:szCs w:val="20"/>
                <w:color w:val="auto"/>
              </w:rPr>
            </w:pPr>
            <w:r>
              <w:rPr>
                <w:rFonts w:ascii="Arial" w:cs="Arial" w:eastAsia="Arial" w:hAnsi="Arial"/>
                <w:sz w:val="14"/>
                <w:szCs w:val="14"/>
                <w:color w:val="auto"/>
                <w:w w:val="86"/>
              </w:rPr>
              <w:t>137,712</w:t>
            </w: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239,476</w:t>
            </w:r>
          </w:p>
        </w:tc>
        <w:tc>
          <w:tcPr>
            <w:tcW w:w="100" w:type="dxa"/>
            <w:vAlign w:val="bottom"/>
          </w:tcPr>
          <w:p>
            <w:pPr>
              <w:spacing w:after="0"/>
              <w:rPr>
                <w:sz w:val="16"/>
                <w:szCs w:val="16"/>
                <w:color w:val="auto"/>
              </w:rPr>
            </w:pPr>
          </w:p>
        </w:tc>
        <w:tc>
          <w:tcPr>
            <w:tcW w:w="480" w:type="dxa"/>
            <w:vAlign w:val="bottom"/>
            <w:tcBorders>
              <w:top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(7,751)</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(17,759)</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351,957</w:t>
            </w:r>
          </w:p>
        </w:tc>
        <w:tc>
          <w:tcPr>
            <w:tcW w:w="0" w:type="dxa"/>
            <w:vAlign w:val="bottom"/>
          </w:tcPr>
          <w:p>
            <w:pPr>
              <w:spacing w:after="0"/>
              <w:rPr>
                <w:sz w:val="1"/>
                <w:szCs w:val="1"/>
                <w:color w:val="auto"/>
              </w:rPr>
            </w:pPr>
          </w:p>
        </w:tc>
      </w:tr>
      <w:tr>
        <w:trPr>
          <w:trHeight w:val="191"/>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(33,074)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(33,074)</w:t>
            </w:r>
          </w:p>
        </w:tc>
        <w:tc>
          <w:tcPr>
            <w:tcW w:w="0" w:type="dxa"/>
            <w:vAlign w:val="bottom"/>
          </w:tcPr>
          <w:p>
            <w:pPr>
              <w:spacing w:after="0"/>
              <w:rPr>
                <w:sz w:val="1"/>
                <w:szCs w:val="1"/>
                <w:color w:val="auto"/>
              </w:rPr>
            </w:pPr>
          </w:p>
        </w:tc>
      </w:tr>
      <w:tr>
        <w:trPr>
          <w:trHeight w:val="19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97"/>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97"/>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(8,604)</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26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(17,045)</w:t>
            </w:r>
          </w:p>
        </w:tc>
        <w:tc>
          <w:tcPr>
            <w:tcW w:w="0" w:type="dxa"/>
            <w:vAlign w:val="bottom"/>
          </w:tcPr>
          <w:p>
            <w:pPr>
              <w:spacing w:after="0"/>
              <w:rPr>
                <w:sz w:val="1"/>
                <w:szCs w:val="1"/>
                <w:color w:val="auto"/>
              </w:rPr>
            </w:pPr>
          </w:p>
        </w:tc>
      </w:tr>
      <w:tr>
        <w:trPr>
          <w:trHeight w:val="19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9,877</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9,877</w:t>
            </w:r>
          </w:p>
        </w:tc>
        <w:tc>
          <w:tcPr>
            <w:tcW w:w="0" w:type="dxa"/>
            <w:vAlign w:val="bottom"/>
          </w:tcPr>
          <w:p>
            <w:pPr>
              <w:spacing w:after="0"/>
              <w:rPr>
                <w:sz w:val="1"/>
                <w:szCs w:val="1"/>
                <w:color w:val="auto"/>
              </w:rPr>
            </w:pPr>
          </w:p>
        </w:tc>
      </w:tr>
      <w:tr>
        <w:trPr>
          <w:trHeight w:val="24"/>
        </w:trPr>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auto"/>
                <w:w w:val="86"/>
              </w:rPr>
              <w:t>138,966</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206,402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(29,385)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307,889</w:t>
            </w:r>
          </w:p>
        </w:tc>
        <w:tc>
          <w:tcPr>
            <w:tcW w:w="0" w:type="dxa"/>
            <w:vAlign w:val="bottom"/>
          </w:tcPr>
          <w:p>
            <w:pPr>
              <w:spacing w:after="0"/>
              <w:rPr>
                <w:sz w:val="1"/>
                <w:szCs w:val="1"/>
                <w:color w:val="auto"/>
              </w:rPr>
            </w:pPr>
          </w:p>
        </w:tc>
      </w:tr>
      <w:tr>
        <w:trPr>
          <w:trHeight w:val="191"/>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(31,224)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(31,224)</w:t>
            </w:r>
          </w:p>
        </w:tc>
        <w:tc>
          <w:tcPr>
            <w:tcW w:w="0" w:type="dxa"/>
            <w:vAlign w:val="bottom"/>
          </w:tcPr>
          <w:p>
            <w:pPr>
              <w:spacing w:after="0"/>
              <w:rPr>
                <w:sz w:val="1"/>
                <w:szCs w:val="1"/>
                <w:color w:val="auto"/>
              </w:rPr>
            </w:pPr>
          </w:p>
        </w:tc>
      </w:tr>
      <w:tr>
        <w:trPr>
          <w:trHeight w:val="19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97"/>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(207)</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97"/>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(257)</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97"/>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(9,083)</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26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8,156</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8,156</w:t>
            </w:r>
          </w:p>
        </w:tc>
        <w:tc>
          <w:tcPr>
            <w:tcW w:w="0" w:type="dxa"/>
            <w:vAlign w:val="bottom"/>
          </w:tcPr>
          <w:p>
            <w:pPr>
              <w:spacing w:after="0"/>
              <w:rPr>
                <w:sz w:val="1"/>
                <w:szCs w:val="1"/>
                <w:color w:val="auto"/>
              </w:rPr>
            </w:pPr>
          </w:p>
        </w:tc>
      </w:tr>
      <w:tr>
        <w:trPr>
          <w:trHeight w:val="24"/>
        </w:trPr>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auto"/>
                <w:w w:val="86"/>
              </w:rPr>
              <w:t>137,575</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175,178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(6,749)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(20,744)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285,539</w:t>
            </w:r>
          </w:p>
        </w:tc>
        <w:tc>
          <w:tcPr>
            <w:tcW w:w="0" w:type="dxa"/>
            <w:vAlign w:val="bottom"/>
          </w:tcPr>
          <w:p>
            <w:pPr>
              <w:spacing w:after="0"/>
              <w:rPr>
                <w:sz w:val="1"/>
                <w:szCs w:val="1"/>
                <w:color w:val="auto"/>
              </w:rPr>
            </w:pPr>
          </w:p>
        </w:tc>
      </w:tr>
      <w:tr>
        <w:trPr>
          <w:trHeight w:val="191"/>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(63,900)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(63,900)</w:t>
            </w:r>
          </w:p>
        </w:tc>
        <w:tc>
          <w:tcPr>
            <w:tcW w:w="0" w:type="dxa"/>
            <w:vAlign w:val="bottom"/>
          </w:tcPr>
          <w:p>
            <w:pPr>
              <w:spacing w:after="0"/>
              <w:rPr>
                <w:sz w:val="1"/>
                <w:szCs w:val="1"/>
                <w:color w:val="auto"/>
              </w:rPr>
            </w:pPr>
          </w:p>
        </w:tc>
      </w:tr>
      <w:tr>
        <w:trPr>
          <w:trHeight w:val="197"/>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97"/>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(307)</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7"/>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(189)</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7"/>
        </w:trPr>
        <w:tc>
          <w:tcPr>
            <w:tcW w:w="620" w:type="dxa"/>
            <w:vAlign w:val="bottom"/>
          </w:tcPr>
          <w:p>
            <w:pPr>
              <w:jc w:val="right"/>
              <w:ind w:right="70"/>
              <w:spacing w:after="0"/>
              <w:rPr>
                <w:sz w:val="20"/>
                <w:szCs w:val="20"/>
                <w:color w:val="auto"/>
              </w:rPr>
            </w:pPr>
            <w:r>
              <w:rPr>
                <w:rFonts w:ascii="Arial" w:cs="Arial" w:eastAsia="Arial" w:hAnsi="Arial"/>
                <w:sz w:val="14"/>
                <w:szCs w:val="14"/>
                <w:color w:val="auto"/>
              </w:rPr>
              <w:t>(5,102)</w:t>
            </w:r>
          </w:p>
        </w:tc>
        <w:tc>
          <w:tcPr>
            <w:tcW w:w="2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62"/>
        </w:trPr>
        <w:tc>
          <w:tcPr>
            <w:tcW w:w="620" w:type="dxa"/>
            <w:vAlign w:val="bottom"/>
          </w:tcPr>
          <w:p>
            <w:pPr>
              <w:jc w:val="right"/>
              <w:ind w:right="90"/>
              <w:spacing w:after="0"/>
              <w:rPr>
                <w:sz w:val="20"/>
                <w:szCs w:val="20"/>
                <w:color w:val="auto"/>
              </w:rPr>
            </w:pPr>
            <w:r>
              <w:rPr>
                <w:rFonts w:ascii="Arial" w:cs="Arial" w:eastAsia="Arial" w:hAnsi="Arial"/>
                <w:sz w:val="14"/>
                <w:szCs w:val="14"/>
                <w:color w:val="auto"/>
              </w:rPr>
              <w:t>7,877</w:t>
            </w:r>
          </w:p>
        </w:tc>
        <w:tc>
          <w:tcPr>
            <w:tcW w:w="2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7,877</w:t>
            </w:r>
          </w:p>
        </w:tc>
        <w:tc>
          <w:tcPr>
            <w:tcW w:w="0" w:type="dxa"/>
            <w:vAlign w:val="bottom"/>
          </w:tcPr>
          <w:p>
            <w:pPr>
              <w:spacing w:after="0"/>
              <w:rPr>
                <w:sz w:val="1"/>
                <w:szCs w:val="1"/>
                <w:color w:val="auto"/>
              </w:rPr>
            </w:pPr>
          </w:p>
        </w:tc>
      </w:tr>
      <w:tr>
        <w:trPr>
          <w:trHeight w:val="24"/>
        </w:trPr>
        <w:tc>
          <w:tcPr>
            <w:tcW w:w="620" w:type="dxa"/>
            <w:vAlign w:val="bottom"/>
            <w:vMerge w:val="restart"/>
          </w:tcPr>
          <w:p>
            <w:pPr>
              <w:jc w:val="right"/>
              <w:ind w:right="90"/>
              <w:spacing w:after="0"/>
              <w:rPr>
                <w:sz w:val="20"/>
                <w:szCs w:val="20"/>
                <w:color w:val="auto"/>
              </w:rPr>
            </w:pPr>
            <w:r>
              <w:rPr>
                <w:rFonts w:ascii="Arial" w:cs="Arial" w:eastAsia="Arial" w:hAnsi="Arial"/>
                <w:sz w:val="14"/>
                <w:szCs w:val="14"/>
                <w:color w:val="auto"/>
                <w:w w:val="86"/>
              </w:rPr>
              <w:t>139,854</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111,278</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(8,175)</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227,706</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-7620</wp:posOffset>
            </wp:positionV>
            <wp:extent cx="5829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320"/>
            <w:col w:w="4960"/>
          </w:cols>
          <w:pgMar w:left="320" w:top="127" w:right="359" w:bottom="1440" w:gutter="0" w:footer="0" w:header="0"/>
          <w:type w:val="continuous"/>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See accompanying notes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1—Summary of Significant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 and Basis of Presentation</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and include the accounts of Matrix Service Company and its subsidiaries (“Matrix”, the “Company” or “we”, “our”, and “us” are to Matrix Service Company and its subsidiaries), all of which are wholly owned. Intercompany transactions and balances have been eliminated in consolidation.</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operate in the United States, Canada, South Korea and Australia. Our reportable segments are Utility and Power Infrastructure, Process and Industrial Facilities, and Storage and Terminal Solutions.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deferred tax assets, and the estimation of loss contingencies, including liabilities associated with litigation and with the self-insured retentions on our insurance programs. Actual results could materially differ from those estimates.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Information about our Contracts with Customers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1: Contract Identification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collectability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2: Identify Performance Obligations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3: Determine Contract Price</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4: Assign Contract Price to Performance Obligations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Step 5: Recognize Revenue as Performance Obligations are Satisfied</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Orders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Claims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include as cash equivalents all investments with original maturities of three months or less which are readily convertible into cash. We have cash on deposit at June 30, 2022 with banks in the United States, Canada, South Korea and Australia in excess of Federal Deposit Insurance Corporation ("FDIC"), Canada Deposit Insurance Corporation ("CDIC"), Korea Deposit Insurance Corporation ("KDIC") and Financial Claims Scheme ("FCS") protection limits, respectively. The United States Dollar equivalent of Canadian, South Korean and Australian deposits totaled $5.7 million as of June 30, 2022.</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ABL Facility requires us to maintain a minimum of $25.0 million of restricted cash at all times. Since this cash must be restricted through the maturity date of the ABL Facility, which is beyond one year, we have classified this restricted cash as non-current in our Consolidated Balance Sheets. The following table provides a reconciliation of cash, cash equivalents and restricted cash in the Consolidated Balance Sheets to the total cash, cash equivalents and restricted cash shown in the Consolidated Statements of Cash Flows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5"/>
                <w:szCs w:val="15"/>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June 30, 2021</w:t>
            </w:r>
          </w:p>
        </w:tc>
      </w:tr>
      <w:tr>
        <w:trPr>
          <w:trHeight w:val="24"/>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83,878</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restricted cash shown in the Consolidated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83,878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Accounts receivable are carried on a gross basis, less the allowance for credit losses. We estimate the allowance for credit losses based on relevant information about past events, including historical experience, current conditions, and reasonable and supportable forecasts that affect the collectability of the reported amount. Our customers consist primarily of major integrated oil companies, independent refiners and marketers, power companies, petrochemical companies, pipeline companies, mining companies, contractors and engineering firms. We are exposed to the risk of individual customer defaults or depressed cycles in our customers’ industries. To mitigate this risk, many of our contracts require payment as projects progress or advance payment in some circumstances. In addition, in most cases we can place liens against the property, plant or equipment constructed or terminate the contract if a material contract default occurs. Accounts are written off against the allowance for credit losses only after all reasonable collection attempts have been exhausted.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Retentions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Contract retentions collectable beyond one year are included in Other assets in the Consolidated Balance Sheets. Accounts payable retentions are generally settled within one year.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Inventories consist primarily of steel plate and pipe and aluminum coil and extrusions. Cost is determined primarily using the average cost method and inventories are stated at the lower of cost or net realizable value.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is computed using the straight-line method over the estimated useful lives of the depreciable assets. Depreciable lives are as follows: buildings— 40 years, construction equipment—3 to 15 years, transportation equipment—3 to 5 years, and office equipment and software—3 to 10 years. Leasehold improvements are amortized over the shorter of the useful life of the asset or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We determine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We consider various factors, including economic incentives, intent, past history and business need, to determine the likelihood that a renewal option will be exercised.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are evaluated for impairment in accordance with our policy for impairment of long-lived assets.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evaluate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to our market capitalization.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Intangible assets that have finite useful lives are amortized by the straight-line method over their useful lives ranging from 6 years to 15 years. A finite intangible asset is considered impaired when its carrying amount is not recoverable and exceeds the asset's fair value. The carrying amount is deemed unrecoverable if it is greater than the sum of undiscounted cash flows expected to result from use and eventual disposition of the asset. An impairment loss is equal to the excess of the carrying amount over the fair value of the asset. If quoted market prices are not available, the fair values of the intangible assets are based on present values of expected future cash flows or royalties avoided using discount rates commensurate with the risks involved.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Reserves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issued stock options, nonvested deferred share awards and cash-settled restricted share units under our long-term incentive compensation plans. The fair value of these awards is calculated at grant date. The fair value of time-based, nonvested deferred shares and cash-settled restricted share units is the value of our common stock at the grant date. The fair value of market-based nonvested deferred shares is based on several factors, including the probability that the market condition specified in the grant will be achieved, which is calculated using a Monte Carlo model. Cash-settled restricted share units must be settled in cash and are accounted for as liability-type awards and are remeasured at the end of each reporting period at fair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960"/>
        <w:spacing w:after="0" w:line="450" w:lineRule="auto"/>
        <w:rPr>
          <w:sz w:val="20"/>
          <w:szCs w:val="20"/>
          <w:color w:val="auto"/>
        </w:rPr>
      </w:pPr>
      <w:r>
        <w:rPr>
          <w:rFonts w:ascii="Arial" w:cs="Arial" w:eastAsia="Arial" w:hAnsi="Arial"/>
          <w:sz w:val="17"/>
          <w:szCs w:val="17"/>
          <w:color w:val="auto"/>
        </w:rPr>
        <w:t xml:space="preserve">value until settlement. For all awards, expense is recognized over the requisite service period with forfeitures recorded as they occur. </w:t>
      </w:r>
      <w:r>
        <w:rPr>
          <w:rFonts w:ascii="Arial" w:cs="Arial" w:eastAsia="Arial" w:hAnsi="Arial"/>
          <w:sz w:val="17"/>
          <w:szCs w:val="17"/>
          <w:b w:val="1"/>
          <w:bCs w:val="1"/>
          <w:i w:val="1"/>
          <w:iCs w:val="1"/>
          <w:color w:val="auto"/>
        </w:rPr>
        <w:t>Income Taxes</w:t>
      </w:r>
    </w:p>
    <w:p>
      <w:pPr>
        <w:spacing w:after="0" w:line="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functional currencies of our operations in Canada, South Korea and Australia are the Canadian Dollar, South Korean Won and U.S. Dollar, respectively. The functional currency of our Australian operations is the U.S. Dollar since its sales are primarily denominated in that currency. For subsidiaries with operations using a foreign functional currency, assets and liabilities are translated at the year-end exchange rates and the income statement accounts are translated at average exchange rates throughout the year. Translation gains and losses are reported in Accumulated Other Comprehensive Loss, net of tax, in the Consolidated Statements of Changes in Stockholders’ Equity and in Other Comprehensive Income (Loss) in the Consolidated Statements of Comprehensive Income. Translation gains and losses are reversed from Accumulated Other Comprehensive Income (Loss) and are recognized in current period income in the event we dispose of an entity with accumulated translation gains or losses. Transaction gains and losses are reported as a component of Other income (expense) in the Consolidated Statements of Income.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Revenue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had $484.2 million of remaining performance obligations yet to be satisfied as of June 30, 2022. We expect to recognize approximately $389.9 million of our remaining performance obligations as revenue within the next twelve months.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center"/>
              <w:ind w:left="340"/>
              <w:spacing w:after="0"/>
              <w:rPr>
                <w:sz w:val="20"/>
                <w:szCs w:val="20"/>
                <w:color w:val="auto"/>
              </w:rPr>
            </w:pPr>
            <w:r>
              <w:rPr>
                <w:rFonts w:ascii="Arial" w:cs="Arial" w:eastAsia="Arial" w:hAnsi="Arial"/>
                <w:sz w:val="17"/>
                <w:szCs w:val="17"/>
                <w:color w:val="auto"/>
                <w:w w:val="92"/>
              </w:rPr>
              <w:t>44,752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461"/>
              <w:spacing w:after="0"/>
              <w:rPr>
                <w:sz w:val="20"/>
                <w:szCs w:val="20"/>
                <w:color w:val="auto"/>
              </w:rPr>
            </w:pPr>
            <w:r>
              <w:rPr>
                <w:rFonts w:ascii="Arial" w:cs="Arial" w:eastAsia="Arial" w:hAnsi="Arial"/>
                <w:sz w:val="17"/>
                <w:szCs w:val="17"/>
                <w:color w:val="auto"/>
                <w:w w:val="92"/>
              </w:rPr>
              <w:t>30,774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13,978</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Billings on uncompleted contracts in excess of costs and estimated earnings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00"/>
              <w:spacing w:after="0"/>
              <w:rPr>
                <w:sz w:val="20"/>
                <w:szCs w:val="20"/>
                <w:color w:val="auto"/>
              </w:rPr>
            </w:pPr>
            <w:r>
              <w:rPr>
                <w:rFonts w:ascii="Arial" w:cs="Arial" w:eastAsia="Arial" w:hAnsi="Arial"/>
                <w:sz w:val="17"/>
                <w:szCs w:val="17"/>
                <w:color w:val="auto"/>
                <w:w w:val="94"/>
              </w:rPr>
              <w:t>(65,106)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21"/>
              <w:spacing w:after="0"/>
              <w:rPr>
                <w:sz w:val="20"/>
                <w:szCs w:val="20"/>
                <w:color w:val="auto"/>
              </w:rPr>
            </w:pPr>
            <w:r>
              <w:rPr>
                <w:rFonts w:ascii="Arial" w:cs="Arial" w:eastAsia="Arial" w:hAnsi="Arial"/>
                <w:sz w:val="17"/>
                <w:szCs w:val="17"/>
                <w:color w:val="auto"/>
                <w:w w:val="94"/>
              </w:rPr>
              <w:t>(53,832)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(11,274)</w:t>
            </w:r>
          </w:p>
        </w:tc>
        <w:tc>
          <w:tcPr>
            <w:tcW w:w="0" w:type="dxa"/>
            <w:vAlign w:val="bottom"/>
          </w:tcPr>
          <w:p>
            <w:pPr>
              <w:spacing w:after="0"/>
              <w:rPr>
                <w:sz w:val="1"/>
                <w:szCs w:val="1"/>
                <w:color w:val="auto"/>
              </w:rPr>
            </w:pPr>
          </w:p>
        </w:tc>
      </w:tr>
      <w:tr>
        <w:trPr>
          <w:trHeight w:val="241"/>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contract liabilities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center"/>
              <w:ind w:left="300"/>
              <w:spacing w:after="0"/>
              <w:rPr>
                <w:sz w:val="20"/>
                <w:szCs w:val="20"/>
                <w:color w:val="auto"/>
              </w:rPr>
            </w:pPr>
            <w:r>
              <w:rPr>
                <w:rFonts w:ascii="Arial" w:cs="Arial" w:eastAsia="Arial" w:hAnsi="Arial"/>
                <w:sz w:val="17"/>
                <w:szCs w:val="17"/>
                <w:color w:val="auto"/>
                <w:w w:val="94"/>
              </w:rPr>
              <w:t>(20,354)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7"/>
                <w:szCs w:val="17"/>
                <w:color w:val="auto"/>
                <w:w w:val="94"/>
              </w:rPr>
              <w:t>(23,058)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difference between the beginning and ending balances of our CIE and BIE primarily results from the timing of revenue recognized relative to its billings. The amount of revenue recognized during the fiscal year ended June 30, 2022 that was included in the prior period BIE balance was $49.2 million. This revenue consists primarily of work performed during the period on contracts with customers that had advance billings.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Progress billings in accounts receivable at June 30, 2022 and June 30, 2021 included retentions to be collected within one year of $16.1 million and $19.9 million, respectively. Contract retentions collectable beyond one year are included in other assets in the Consolidated Balance Sheets and totaled $4.0 million as of June 30, 2022 and $3.1 million as of June 30,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disaggregated by reportable segment is presented in Note 13 - Segment Information. The following series of tables presents revenue disaggregated by geographic area where the work was performed and by contract type: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Geographic Disaggregation: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Fiscal Years Ended</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jc w:val="center"/>
              <w:ind w:right="440"/>
              <w:spacing w:after="0" w:line="128"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c>
          <w:tcPr>
            <w:tcW w:w="1520" w:type="dxa"/>
            <w:vAlign w:val="bottom"/>
            <w:gridSpan w:val="2"/>
          </w:tcPr>
          <w:p>
            <w:pPr>
              <w:jc w:val="center"/>
              <w:ind w:right="300"/>
              <w:spacing w:after="0" w:line="128"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1"/>
                <w:szCs w:val="11"/>
                <w:color w:val="auto"/>
              </w:rPr>
            </w:pPr>
          </w:p>
        </w:tc>
        <w:tc>
          <w:tcPr>
            <w:tcW w:w="1240" w:type="dxa"/>
            <w:vAlign w:val="bottom"/>
          </w:tcPr>
          <w:p>
            <w:pPr>
              <w:jc w:val="center"/>
              <w:ind w:right="259"/>
              <w:spacing w:after="0" w:line="128"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640,512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604,739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1,020,083</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63,045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61,703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70,133</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10,722</w:t>
            </w: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707,780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673,398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1,100,938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7"/>
                <w:szCs w:val="17"/>
                <w:color w:val="auto"/>
              </w:rPr>
              <w:t>Contract Type Disaggregation:</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6"/>
        </w:trPr>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Fiscal Years Ended</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2"/>
          </w:tcPr>
          <w:p>
            <w:pPr>
              <w:jc w:val="center"/>
              <w:ind w:right="440"/>
              <w:spacing w:after="0" w:line="125"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0"/>
                <w:szCs w:val="10"/>
                <w:color w:val="auto"/>
              </w:rPr>
            </w:pPr>
          </w:p>
        </w:tc>
        <w:tc>
          <w:tcPr>
            <w:tcW w:w="152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0"/>
                <w:szCs w:val="10"/>
                <w:color w:val="auto"/>
              </w:rPr>
            </w:pPr>
          </w:p>
        </w:tc>
        <w:tc>
          <w:tcPr>
            <w:tcW w:w="1240" w:type="dxa"/>
            <w:vAlign w:val="bottom"/>
          </w:tcPr>
          <w:p>
            <w:pPr>
              <w:jc w:val="center"/>
              <w:ind w:right="259"/>
              <w:spacing w:after="0" w:line="125"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Fixed-price contracts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421,188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444,042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685,559</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Time and materials and other cost reimbursable contracts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286,592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229,356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415,379</w:t>
            </w:r>
          </w:p>
        </w:tc>
        <w:tc>
          <w:tcPr>
            <w:tcW w:w="0" w:type="dxa"/>
            <w:vAlign w:val="bottom"/>
          </w:tcPr>
          <w:p>
            <w:pPr>
              <w:spacing w:after="0"/>
              <w:rPr>
                <w:sz w:val="1"/>
                <w:szCs w:val="1"/>
                <w:color w:val="auto"/>
              </w:rPr>
            </w:pPr>
          </w:p>
        </w:tc>
      </w:tr>
      <w:tr>
        <w:trPr>
          <w:trHeight w:val="241"/>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707,780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673,398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1,100,938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Typically, we assume more risk with fixed-price contracts since increases in cost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Revisions in Estimates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results of operations were materially impacted by an increase in the forecasted costs to complete a midstream gas processing project in the Process and Industrial Facilities segment. The project reduced gross profit by $8.7 million during fiscal 2022. The increase in forecasted costs was primarily due to poor performance of a now terminated subcontractor, which required rework, as well as supply chain and escalation issues, in order to meet our client's expectations. We expect to complete the project during the second quarter of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results of operations were materially impacted by changes in the forecasted costs to complete two large capital projects in the Utility and Power Infrastructure segment. Improved project execution on the first project resulted in an increase in gross profit of $2.2 million during the second half of fiscal 2022. However, increases in the forecasted costs to complete this project during the first half of fiscal 2022 resulted in the project reducing gross profit by $3.6 million during fiscal 2022. The increase in forecasted costs during the first half of the fiscal year was principally due to unexpected equipment repairs during commissioning that delayed the scheduled completion and increased the estimated costs to complete. We achieved a critical performance milestone during the second quarter of fiscal 2022, which significantly reduced our financial exposure on the project.</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Increased forecasted costs to the complete the second project resulted in the project reducing gross profit by $2.2 million during the fourth quarter of fiscal 2022 and $0.1 million during fiscal 2022. We recognized $78.1 million of revenue on this project during the year at a near break-even margin as a result of the change in estimate. The increase in forecasted costs was the result of higher than anticipated subcontractor costs and labor costs as the project neared completion. We expect to complete the project during the second quarter of fiscal 2023.</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results of operations were materially impacted by an increase in the costs required to complete a thermal energy storage tank repair and maintenance project in the Storage and Terminal Solutions segment, which resulted in a decrease in gross profit of $6.3 million in fiscal 2022. The increase in costs was primarily due to changes in repair scope, expanded client weld testing and associated schedule delays. We achieved substantial completion on this project in the fourth quarter of fiscal 2022.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3—Property, Plant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property, plant and equipment - net at June 30, 2022 and 2021: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100" w:type="dxa"/>
            <w:vAlign w:val="bottom"/>
          </w:tcPr>
          <w:p>
            <w:pPr>
              <w:jc w:val="right"/>
              <w:ind w:right="436"/>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7"/>
                <w:szCs w:val="17"/>
                <w:color w:val="auto"/>
              </w:rPr>
              <w:t>Property, plant and equipment - at cost:</w:t>
            </w:r>
          </w:p>
        </w:tc>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Land and buildings</w:t>
            </w:r>
          </w:p>
        </w:tc>
        <w:tc>
          <w:tcPr>
            <w:tcW w:w="3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41,633</w:t>
            </w:r>
          </w:p>
        </w:tc>
        <w:tc>
          <w:tcPr>
            <w:tcW w:w="0" w:type="dxa"/>
            <w:vAlign w:val="bottom"/>
          </w:tcPr>
          <w:p>
            <w:pPr>
              <w:spacing w:after="0"/>
              <w:rPr>
                <w:sz w:val="1"/>
                <w:szCs w:val="1"/>
                <w:color w:val="auto"/>
              </w:rPr>
            </w:pPr>
          </w:p>
        </w:tc>
      </w:tr>
      <w:tr>
        <w:trPr>
          <w:trHeight w:val="223"/>
        </w:trPr>
        <w:tc>
          <w:tcPr>
            <w:tcW w:w="4380" w:type="dxa"/>
            <w:vAlign w:val="bottom"/>
          </w:tcPr>
          <w:p>
            <w:pPr>
              <w:ind w:left="340"/>
              <w:spacing w:after="0"/>
              <w:rPr>
                <w:sz w:val="20"/>
                <w:szCs w:val="20"/>
                <w:color w:val="auto"/>
              </w:rPr>
            </w:pPr>
            <w:r>
              <w:rPr>
                <w:rFonts w:ascii="Arial" w:cs="Arial" w:eastAsia="Arial" w:hAnsi="Arial"/>
                <w:sz w:val="17"/>
                <w:szCs w:val="17"/>
                <w:color w:val="auto"/>
              </w:rPr>
              <w:t>Construction equipment</w:t>
            </w:r>
          </w:p>
        </w:tc>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93,036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94,453</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Transportation equipment</w:t>
            </w:r>
          </w:p>
        </w:tc>
        <w:tc>
          <w:tcPr>
            <w:tcW w:w="3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50,510</w:t>
            </w:r>
          </w:p>
        </w:tc>
        <w:tc>
          <w:tcPr>
            <w:tcW w:w="0" w:type="dxa"/>
            <w:vAlign w:val="bottom"/>
          </w:tcPr>
          <w:p>
            <w:pPr>
              <w:spacing w:after="0"/>
              <w:rPr>
                <w:sz w:val="1"/>
                <w:szCs w:val="1"/>
                <w:color w:val="auto"/>
              </w:rPr>
            </w:pPr>
          </w:p>
        </w:tc>
      </w:tr>
      <w:tr>
        <w:trPr>
          <w:trHeight w:val="223"/>
        </w:trPr>
        <w:tc>
          <w:tcPr>
            <w:tcW w:w="4380" w:type="dxa"/>
            <w:vAlign w:val="bottom"/>
          </w:tcPr>
          <w:p>
            <w:pPr>
              <w:ind w:left="340"/>
              <w:spacing w:after="0"/>
              <w:rPr>
                <w:sz w:val="20"/>
                <w:szCs w:val="20"/>
                <w:color w:val="auto"/>
              </w:rPr>
            </w:pPr>
            <w:r>
              <w:rPr>
                <w:rFonts w:ascii="Arial" w:cs="Arial" w:eastAsia="Arial" w:hAnsi="Arial"/>
                <w:sz w:val="17"/>
                <w:szCs w:val="17"/>
                <w:color w:val="auto"/>
              </w:rPr>
              <w:t>Office equipment and software</w:t>
            </w:r>
          </w:p>
        </w:tc>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43,823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42,706</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Construction in progress</w:t>
            </w:r>
          </w:p>
        </w:tc>
        <w:tc>
          <w:tcPr>
            <w:tcW w:w="36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7"/>
                <w:szCs w:val="17"/>
                <w:color w:val="auto"/>
              </w:rPr>
              <w:t>Total property, plant and equipment - at cost</w:t>
            </w:r>
          </w:p>
        </w:tc>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222,292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229,795</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depreciation</w:t>
            </w:r>
          </w:p>
        </w:tc>
        <w:tc>
          <w:tcPr>
            <w:tcW w:w="36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(168,423)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(160,388)</w:t>
            </w:r>
          </w:p>
        </w:tc>
        <w:tc>
          <w:tcPr>
            <w:tcW w:w="0" w:type="dxa"/>
            <w:vAlign w:val="bottom"/>
          </w:tcPr>
          <w:p>
            <w:pPr>
              <w:spacing w:after="0"/>
              <w:rPr>
                <w:sz w:val="1"/>
                <w:szCs w:val="1"/>
                <w:color w:val="auto"/>
              </w:rPr>
            </w:pPr>
          </w:p>
        </w:tc>
      </w:tr>
      <w:tr>
        <w:trPr>
          <w:trHeight w:val="216"/>
        </w:trPr>
        <w:tc>
          <w:tcPr>
            <w:tcW w:w="4380" w:type="dxa"/>
            <w:vAlign w:val="bottom"/>
          </w:tcPr>
          <w:p>
            <w:pPr>
              <w:ind w:left="140"/>
              <w:spacing w:after="0"/>
              <w:rPr>
                <w:sz w:val="20"/>
                <w:szCs w:val="20"/>
                <w:color w:val="auto"/>
              </w:rPr>
            </w:pPr>
            <w:r>
              <w:rPr>
                <w:rFonts w:ascii="Arial" w:cs="Arial" w:eastAsia="Arial" w:hAnsi="Arial"/>
                <w:sz w:val="17"/>
                <w:szCs w:val="17"/>
                <w:color w:val="auto"/>
              </w:rPr>
              <w:t>Property, plant and equipment - net</w:t>
            </w:r>
          </w:p>
        </w:tc>
        <w:tc>
          <w:tcPr>
            <w:tcW w:w="3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53,869</w:t>
            </w:r>
          </w:p>
        </w:tc>
        <w:tc>
          <w:tcPr>
            <w:tcW w:w="100" w:type="dxa"/>
            <w:vAlign w:val="bottom"/>
          </w:tcPr>
          <w:p>
            <w:pPr>
              <w:spacing w:after="0"/>
              <w:rPr>
                <w:sz w:val="18"/>
                <w:szCs w:val="18"/>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69,407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60" w:type="dxa"/>
            <w:vAlign w:val="bottom"/>
            <w:vMerge w:val="restart"/>
          </w:tcPr>
          <w:p>
            <w:pPr>
              <w:jc w:val="right"/>
              <w:ind w:right="2233"/>
              <w:spacing w:after="0"/>
              <w:rPr>
                <w:sz w:val="20"/>
                <w:szCs w:val="20"/>
                <w:color w:val="auto"/>
              </w:rPr>
            </w:pPr>
            <w:r>
              <w:rPr>
                <w:rFonts w:ascii="Arial" w:cs="Arial" w:eastAsia="Arial" w:hAnsi="Arial"/>
                <w:sz w:val="17"/>
                <w:szCs w:val="17"/>
                <w:color w:val="auto"/>
              </w:rPr>
              <w:t>62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3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8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Geographical Disaggregation of Long-Lived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Long-Lived Assets</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
        </w:trPr>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8" w:lineRule="exact"/>
              <w:rPr>
                <w:sz w:val="20"/>
                <w:szCs w:val="20"/>
                <w:color w:val="auto"/>
              </w:rPr>
            </w:pPr>
            <w:r>
              <w:rPr>
                <w:rFonts w:ascii="Arial" w:cs="Arial" w:eastAsia="Arial" w:hAnsi="Arial"/>
                <w:sz w:val="14"/>
                <w:szCs w:val="14"/>
                <w:b w:val="1"/>
                <w:bCs w:val="1"/>
                <w:color w:val="auto"/>
                <w:w w:val="89"/>
              </w:rPr>
              <w:t>June 30,</w:t>
            </w:r>
          </w:p>
        </w:tc>
        <w:tc>
          <w:tcPr>
            <w:tcW w:w="340" w:type="dxa"/>
            <w:vAlign w:val="bottom"/>
          </w:tcPr>
          <w:p>
            <w:pPr>
              <w:spacing w:after="0"/>
              <w:rPr>
                <w:sz w:val="11"/>
                <w:szCs w:val="11"/>
                <w:color w:val="auto"/>
              </w:rPr>
            </w:pPr>
          </w:p>
        </w:tc>
        <w:tc>
          <w:tcPr>
            <w:tcW w:w="1260" w:type="dxa"/>
            <w:vAlign w:val="bottom"/>
          </w:tcPr>
          <w:p>
            <w:pPr>
              <w:jc w:val="right"/>
              <w:ind w:right="458"/>
              <w:spacing w:after="0" w:line="128" w:lineRule="exact"/>
              <w:rPr>
                <w:sz w:val="20"/>
                <w:szCs w:val="20"/>
                <w:color w:val="auto"/>
              </w:rPr>
            </w:pPr>
            <w:r>
              <w:rPr>
                <w:rFonts w:ascii="Arial" w:cs="Arial" w:eastAsia="Arial" w:hAnsi="Arial"/>
                <w:sz w:val="14"/>
                <w:szCs w:val="14"/>
                <w:b w:val="1"/>
                <w:bCs w:val="1"/>
                <w:color w:val="auto"/>
              </w:rPr>
              <w:t>June 30,</w:t>
            </w:r>
          </w:p>
        </w:tc>
      </w:tr>
      <w:tr>
        <w:trPr>
          <w:trHeight w:val="188"/>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2020</w:t>
            </w:r>
          </w:p>
        </w:tc>
      </w:tr>
      <w:tr>
        <w:trPr>
          <w:trHeight w:val="188"/>
        </w:trPr>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157,442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164,056</w:t>
            </w: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Canada</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7"/>
                <w:szCs w:val="17"/>
                <w:color w:val="auto"/>
              </w:rPr>
              <w:t>6,523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5,659</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12,372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12,435</w:t>
            </w:r>
          </w:p>
        </w:tc>
      </w:tr>
      <w:tr>
        <w:trPr>
          <w:trHeight w:val="216"/>
        </w:trPr>
        <w:tc>
          <w:tcPr>
            <w:tcW w:w="628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176,337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182,150</w:t>
            </w:r>
          </w:p>
        </w:tc>
      </w:tr>
      <w:tr>
        <w:trPr>
          <w:trHeight w:val="20"/>
        </w:trPr>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Sale-leaseback Transaction</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sold our regional office and fabrication and warehouse facilities located in Orange, California during the fourth quarter of fiscal 2022 for net proceeds of $37.4 million in cash. We recorded a gain of $32.4 million on the sale, which is included in other income in the Consolidated Statements of Income. In connection with the sale, we also entered into a leaseback agreement for a period up to 24 months while we locate replacement facilities. We are still fully committed to our operations in Southern California - we decided to enter into the sale and leaseback transaction to take advantage of the elevated real estate market valuations in Southern California.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4—Goodwill and Other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Utility and Power</w:t>
            </w:r>
          </w:p>
        </w:tc>
        <w:tc>
          <w:tcPr>
            <w:tcW w:w="200" w:type="dxa"/>
            <w:vAlign w:val="bottom"/>
          </w:tcPr>
          <w:p>
            <w:pPr>
              <w:spacing w:after="0"/>
              <w:rPr>
                <w:sz w:val="14"/>
                <w:szCs w:val="1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4"/>
              </w:rPr>
              <w:t>Process and</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Storage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2"/>
              </w:rPr>
              <w:t>Terminal</w:t>
            </w:r>
          </w:p>
        </w:tc>
        <w:tc>
          <w:tcPr>
            <w:tcW w:w="300" w:type="dxa"/>
            <w:vAlign w:val="bottom"/>
          </w:tcPr>
          <w:p>
            <w:pPr>
              <w:spacing w:after="0"/>
              <w:rPr>
                <w:sz w:val="12"/>
                <w:szCs w:val="12"/>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Infrastructure</w:t>
            </w: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Industrial Facilities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4"/>
              </w:rPr>
              <w:t>Solutions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balance at 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34,842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93,368</w:t>
            </w:r>
          </w:p>
        </w:tc>
        <w:tc>
          <w:tcPr>
            <w:tcW w:w="0" w:type="dxa"/>
            <w:vAlign w:val="bottom"/>
          </w:tcPr>
          <w:p>
            <w:pPr>
              <w:spacing w:after="0"/>
              <w:rPr>
                <w:sz w:val="1"/>
                <w:szCs w:val="1"/>
                <w:color w:val="auto"/>
              </w:rPr>
            </w:pP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Goodwill impairment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(32,881)</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Translation adjustment </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Net balance at June 30, 2020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26,846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26,618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60,369</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Translation adjustment </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Net balance at June 30, 2021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6,984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26,878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26,774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60,636</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 impairment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(18,312)</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7"/>
                <w:szCs w:val="17"/>
                <w:color w:val="auto"/>
              </w:rPr>
              <w:t>Translation adjustment</w:t>
            </w:r>
            <w:r>
              <w:rPr>
                <w:rFonts w:ascii="Arial" w:cs="Arial" w:eastAsia="Arial" w:hAnsi="Arial"/>
                <w:sz w:val="22"/>
                <w:szCs w:val="22"/>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41"/>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balance at June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42,135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26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60" w:hanging="319"/>
        <w:spacing w:after="0" w:line="280" w:lineRule="auto"/>
        <w:tabs>
          <w:tab w:leader="none" w:pos="5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performed our annual goodwill impairment test as of May 31, 2022, which resulted in no impairment. The fiscal 2022 test indicated that four reporting units with a combined total of $33.8 million of goodwill as of June 30, 2022 were at higher risk of future impairment. If our view of project opportunities or gross margins deteriorates, particularly for the higher risk reporting units, then we may be required to record an impairment of goodwill.</w:t>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third quarter of fiscal 2022, we concluded that goodwill impairment indicators existed based on the decline in the price of our stock and operating results that have underperformed our forecasts during the year. Accordingly, we performed an interim impairment test as of March 31, 2022 and concluded that there was $18.3 million of total impairment to goodwill, which was recorded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ind w:left="620" w:hanging="300"/>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$8.4 million in the Process and Industrial Facilities segment;</w:t>
      </w:r>
    </w:p>
    <w:p>
      <w:pPr>
        <w:spacing w:after="0" w:line="26" w:lineRule="exact"/>
        <w:rPr>
          <w:rFonts w:ascii="Arial" w:cs="Arial" w:eastAsia="Arial" w:hAnsi="Arial"/>
          <w:sz w:val="17"/>
          <w:szCs w:val="17"/>
          <w:color w:val="auto"/>
        </w:rPr>
      </w:pPr>
    </w:p>
    <w:p>
      <w:pPr>
        <w:ind w:left="620" w:hanging="300"/>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$7.2 million in the Storage and Terminal Solutions segment; and</w:t>
      </w:r>
    </w:p>
    <w:p>
      <w:pPr>
        <w:spacing w:after="0" w:line="14" w:lineRule="exact"/>
        <w:rPr>
          <w:rFonts w:ascii="Arial" w:cs="Arial" w:eastAsia="Arial" w:hAnsi="Arial"/>
          <w:sz w:val="17"/>
          <w:szCs w:val="17"/>
          <w:color w:val="auto"/>
        </w:rPr>
      </w:pPr>
    </w:p>
    <w:p>
      <w:pPr>
        <w:ind w:left="620" w:hanging="300"/>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$2.7 million in the Utility and Power Infrastructure segment.</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the second quarter of fiscal 2020, we concluded that a goodwill impairment indicator existed in the Utility and Power Infrastructure segment based on the recent history of depressed gross margins and the second quarter’s downward acceleration of revenue and gross margin. Accordingly, we performed an interim impairment test as of December 31, 2019, reflecting updated revenue and gross margin assumptions, and concluded that the reporting unit's $24.9 million of goodwill was fully impaired. Additionally, we concluded that a goodwill impairment indicator existed for a Process and Industrial Facilities segment reporting unit based on several second quarter events. These events included the deterioration of our relationship with a significant customer in the iron and steel industry in the second quarter. As a result, the customer canceled other previously awarded work and we received no subsequent business from this customer. Accordingly, we performed an interim impairment test as of December 31, 2019 and concluded that the reporting unit's $8.0 million of goodwill was fully impaired.</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estimated fair value of each segment was derived by utilizing a discounted cash flow analysis and market multiples of projected EBITDA. The key assumptions used are described in Note 1 - Summary of Significant Accounting Policies, and Item 7. Management’s Discussion and Analysis of Financial Condition and Results of Operations, Critical Accounting Policies, Goodwill.</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the carrying value of other intangible assets is as follows: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At June 30, 2022</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28"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1"/>
        </w:trPr>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Useful Life</w:t>
            </w: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Intellectual property</w:t>
            </w:r>
          </w:p>
        </w:tc>
        <w:tc>
          <w:tcPr>
            <w:tcW w:w="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4"/>
              </w:rPr>
              <w:t>10 to 15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2,558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based</w:t>
            </w: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7"/>
                <w:szCs w:val="17"/>
                <w:color w:val="auto"/>
                <w:w w:val="92"/>
              </w:rPr>
              <w:t>6 to 15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17,331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19,889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4,796</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At June 30, 2021</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28"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1"/>
        </w:trPr>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Intellectual property</w:t>
            </w:r>
          </w:p>
        </w:tc>
        <w:tc>
          <w:tcPr>
            <w:tcW w:w="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10 to 15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2,483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based</w:t>
            </w: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6"/>
              </w:rPr>
              <w:t>6 to 15</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17,354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19,837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totaled $1.8 million, $2.3 million, and $3.4 million in fiscal 2022, 2021, and 2020, respectively.</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fourth quarter of fiscal 2020, we fully impaired a customer relationship intangible asset with a net book value of $1.2 million. The customer relationship primarily related to services in the Utility and Power Infrastructure segment which were impacted by our performance improvement plan (see Note 14 - Restructuring Costs). As a result, the customer relationship intangible asset was no longer recoverable. As of June 30, 2020, this intangible asset had a remaining useful life of approximately 2 years, a gross carrying amount of $6.3 million and accumulated amortization of $5.1 million. The impairment is included in restructuring costs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Also in the fourth quarter of fiscal 2020, we fully impaired a customer relationship intangible asset with a net book value of $0.4 million in connection with the closure of an underperforming operating unit in the Process and Industrial Facilities segment. The closure was part of our performance improvement plan (see Note 14 - Restructuring Costs). As of June 30, 2020, this intangible asset had a remaining useful life of approximately 4 years, a gross carrying amount of $0.9 million and accumulated amortization of $0.5 million. The impairment is included in the restructuring costs caption in the Consolidated Statements of Income.</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second quarter of fiscal 2020, in connection with the factors disclosed for the Process and Industrial Facilities segment goodwill impairment above, we fully impaired a customer relationship with a net book value of $5.6 million. As of December 31, 2019, this intangible asset had a remaining useful life of 9 years, a gross carrying amount of $9.4 million and accumulated amortization of $3.8 million. The impairment is included within the goodwill and other intangible asset impairment caption in the Consolidated Statements of Income.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future amortization of other intangible assets will be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tcPr>
          <w:p>
            <w:pPr>
              <w:ind w:left="20"/>
              <w:spacing w:after="0"/>
              <w:rPr>
                <w:sz w:val="20"/>
                <w:szCs w:val="20"/>
                <w:color w:val="auto"/>
              </w:rPr>
            </w:pPr>
            <w:r>
              <w:rPr>
                <w:rFonts w:ascii="Arial" w:cs="Arial" w:eastAsia="Arial" w:hAnsi="Arial"/>
                <w:sz w:val="17"/>
                <w:szCs w:val="17"/>
                <w:b w:val="1"/>
                <w:bCs w:val="1"/>
                <w:color w:val="auto"/>
              </w:rPr>
              <w:t>For year ending:</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3"/>
        </w:trPr>
        <w:tc>
          <w:tcPr>
            <w:tcW w:w="9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June 30, 2023</w:t>
            </w:r>
          </w:p>
        </w:tc>
        <w:tc>
          <w:tcPr>
            <w:tcW w:w="6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w:t>
            </w:r>
          </w:p>
        </w:tc>
      </w:tr>
      <w:tr>
        <w:trPr>
          <w:trHeight w:val="223"/>
        </w:trPr>
        <w:tc>
          <w:tcPr>
            <w:tcW w:w="9680" w:type="dxa"/>
            <w:vAlign w:val="bottom"/>
          </w:tcPr>
          <w:p>
            <w:pPr>
              <w:ind w:left="40"/>
              <w:spacing w:after="0"/>
              <w:rPr>
                <w:sz w:val="20"/>
                <w:szCs w:val="20"/>
                <w:color w:val="auto"/>
              </w:rPr>
            </w:pPr>
            <w:r>
              <w:rPr>
                <w:rFonts w:ascii="Arial" w:cs="Arial" w:eastAsia="Arial" w:hAnsi="Arial"/>
                <w:sz w:val="17"/>
                <w:szCs w:val="17"/>
                <w:color w:val="auto"/>
              </w:rPr>
              <w:t>June 30, 2024</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1,416</w:t>
            </w:r>
          </w:p>
        </w:tc>
      </w:tr>
      <w:tr>
        <w:trPr>
          <w:trHeight w:val="223"/>
        </w:trPr>
        <w:tc>
          <w:tcPr>
            <w:tcW w:w="9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June 30, 2025</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r>
      <w:tr>
        <w:trPr>
          <w:trHeight w:val="223"/>
        </w:trPr>
        <w:tc>
          <w:tcPr>
            <w:tcW w:w="968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June 30, 2026</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r>
      <w:tr>
        <w:trPr>
          <w:trHeight w:val="241"/>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estimated amortization expense</w:t>
            </w: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5—Debt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ABL Credit Facility</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October 5, 2022, we and our primary U.S. and Canada operating subsidiaries entered into the First Amendment and Waiver to Credit Agreement (the “Amendment”), which amended our asset-backed credit agreement (the "ABL Facility"), dated as of September 9, 2021 with Bank of Montreal, as Administrative Agent, Swing Line Lender and a Letter of Credit Issuer, and the lenders named therein. The Amendment (i) waives an event of default resulting from our failure to deliver the Administrative Agent and the lenders our audited financial statements for the fiscal year ended June 30, 2022 by September 28, 2022 (the “Audited Financial Statements”), provided we deliver the Audited Financial Statements by October 14, 2022, (ii) reduces the maximum amount of loans under the ABL Facility to $90.0 million from $100.0 million and (iii) replaces the London interbank offered rate with the forward term rate based on the secured overnight financing rate (the “SOFR”) as the interest rate benchmark.</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ABL Facility is guaranteed by substantially all of our remaining U.S. and Canadian subsidiaries. The ABL Facility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June 30, 2022, our borrowing base was $80.8 million, we had $15.0 million of outstanding borrowings, and $23.3 million in letters of credit outstanding, which resulted in availability of $42.5 million under the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of either a base rate (“Base Rate”), an Adjusted Term SOFR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June 30, 2022, including applicable margin, was 6.00%.</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lesser of (1) the current borrowing base and (2) the commitments under the ABL Facility then in effect, a consolidated Fixed Charge Coverage Ratio of at least 1.00 to 1.00 must be maintained. We are in compliance with all covenants of the ABL Facility as of June 30, 2022.</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Revolving Credit Facility</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Chase Bank, N.A., as Administrative Agent, Sole Lead Arranger and Sole Book Runner, and the other Lenders party thereto. The Prior Credit Agreement provided for a three-year senior secured revolving credit facility of $200.0 million that expired November 2, 2023. We had no borrowings and $41.3 million of letters of credit outstanding under the Prior Credit Agreement as of June 30, 2021. Interest expense during fiscal 2022 included $1.5 million of accelerated amortization of deferred debt amendment fees associated with the Prior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Sources of Pretax Income (Loss)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Fiscal Years Ended</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1500" w:type="dxa"/>
            <w:vAlign w:val="bottom"/>
            <w:gridSpan w:val="2"/>
          </w:tcPr>
          <w:p>
            <w:pPr>
              <w:jc w:val="center"/>
              <w:ind w:right="280"/>
              <w:spacing w:after="0" w:line="128" w:lineRule="exact"/>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1"/>
                <w:szCs w:val="11"/>
                <w:color w:val="auto"/>
              </w:rPr>
            </w:pPr>
          </w:p>
        </w:tc>
        <w:tc>
          <w:tcPr>
            <w:tcW w:w="1260" w:type="dxa"/>
            <w:vAlign w:val="bottom"/>
          </w:tcPr>
          <w:p>
            <w:pPr>
              <w:jc w:val="right"/>
              <w:ind w:right="460"/>
              <w:spacing w:after="0" w:line="128" w:lineRule="exact"/>
              <w:rPr>
                <w:sz w:val="20"/>
                <w:szCs w:val="20"/>
                <w:color w:val="auto"/>
              </w:rPr>
            </w:pPr>
            <w:r>
              <w:rPr>
                <w:rFonts w:ascii="Arial" w:cs="Arial" w:eastAsia="Arial" w:hAnsi="Arial"/>
                <w:sz w:val="14"/>
                <w:szCs w:val="14"/>
                <w:b w:val="1"/>
                <w:bCs w:val="1"/>
                <w:color w:val="auto"/>
              </w:rPr>
              <w:t>June 30,</w:t>
            </w:r>
          </w:p>
        </w:tc>
      </w:tr>
      <w:tr>
        <w:trPr>
          <w:trHeight w:val="188"/>
        </w:trPr>
        <w:tc>
          <w:tcPr>
            <w:tcW w:w="6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r>
      <w:tr>
        <w:trPr>
          <w:trHeight w:val="188"/>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(32,660)</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(3,984)</w:t>
            </w:r>
          </w:p>
        </w:tc>
      </w:tr>
      <w:tr>
        <w:trPr>
          <w:trHeight w:val="24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(36,644)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Components of the Provision for Income Tax Expense (Benefit)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Fiscal Years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128"/>
        </w:trPr>
        <w:tc>
          <w:tcPr>
            <w:tcW w:w="6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left="101"/>
              <w:spacing w:after="0" w:line="128"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416"/>
              <w:spacing w:after="0" w:line="128"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55"/>
              <w:spacing w:after="0" w:line="128" w:lineRule="exact"/>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1"/>
                <w:szCs w:val="11"/>
                <w:color w:val="auto"/>
              </w:rPr>
            </w:pPr>
          </w:p>
        </w:tc>
      </w:tr>
      <w:tr>
        <w:trPr>
          <w:trHeight w:val="188"/>
        </w:trPr>
        <w:tc>
          <w:tcPr>
            <w:tcW w:w="6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4"/>
                <w:szCs w:val="14"/>
                <w:b w:val="1"/>
                <w:bCs w:val="1"/>
                <w:color w:val="auto"/>
                <w:w w:val="89"/>
              </w:rPr>
              <w:t>2022</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1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188"/>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360" w:type="dxa"/>
            <w:vAlign w:val="bottom"/>
          </w:tcPr>
          <w:p>
            <w:pPr>
              <w:ind w:left="340"/>
              <w:spacing w:after="0"/>
              <w:rPr>
                <w:sz w:val="20"/>
                <w:szCs w:val="20"/>
                <w:color w:val="auto"/>
              </w:rPr>
            </w:pPr>
            <w:r>
              <w:rPr>
                <w:rFonts w:ascii="Arial" w:cs="Arial" w:eastAsia="Arial" w:hAnsi="Arial"/>
                <w:sz w:val="17"/>
                <w:szCs w:val="17"/>
                <w:color w:val="auto"/>
              </w:rPr>
              <w:t>Federal</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230</w:t>
            </w:r>
          </w:p>
        </w:tc>
        <w:tc>
          <w:tcPr>
            <w:tcW w:w="560" w:type="dxa"/>
            <w:vAlign w:val="bottom"/>
            <w:gridSpan w:val="3"/>
          </w:tcPr>
          <w:p>
            <w:pPr>
              <w:jc w:val="right"/>
              <w:ind w:right="20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(13,154)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(376)</w:t>
            </w:r>
          </w:p>
        </w:tc>
        <w:tc>
          <w:tcPr>
            <w:tcW w:w="20" w:type="dxa"/>
            <w:vAlign w:val="bottom"/>
          </w:tcPr>
          <w:p>
            <w:pPr>
              <w:spacing w:after="0"/>
              <w:rPr>
                <w:sz w:val="19"/>
                <w:szCs w:val="19"/>
                <w:color w:val="auto"/>
              </w:rPr>
            </w:pPr>
          </w:p>
        </w:tc>
      </w:tr>
      <w:tr>
        <w:trPr>
          <w:trHeight w:val="223"/>
        </w:trPr>
        <w:tc>
          <w:tcPr>
            <w:tcW w:w="6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20" w:type="dxa"/>
            <w:vAlign w:val="bottom"/>
          </w:tcPr>
          <w:p>
            <w:pPr>
              <w:spacing w:after="0"/>
              <w:rPr>
                <w:sz w:val="19"/>
                <w:szCs w:val="19"/>
                <w:color w:val="auto"/>
              </w:rPr>
            </w:pPr>
          </w:p>
        </w:tc>
      </w:tr>
      <w:tr>
        <w:trPr>
          <w:trHeight w:val="223"/>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18"/>
                <w:szCs w:val="18"/>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7"/>
                <w:szCs w:val="17"/>
                <w:color w:val="auto"/>
              </w:rPr>
              <w:t>Deferred:</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Federal</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2,504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20" w:type="dxa"/>
            <w:vAlign w:val="bottom"/>
          </w:tcPr>
          <w:p>
            <w:pPr>
              <w:spacing w:after="0"/>
              <w:rPr>
                <w:sz w:val="19"/>
                <w:szCs w:val="19"/>
                <w:color w:val="auto"/>
              </w:rPr>
            </w:pPr>
          </w:p>
        </w:tc>
      </w:tr>
      <w:tr>
        <w:trPr>
          <w:trHeight w:val="223"/>
        </w:trPr>
        <w:tc>
          <w:tcPr>
            <w:tcW w:w="6360" w:type="dxa"/>
            <w:vAlign w:val="bottom"/>
          </w:tcPr>
          <w:p>
            <w:pPr>
              <w:ind w:left="340"/>
              <w:spacing w:after="0"/>
              <w:rPr>
                <w:sz w:val="20"/>
                <w:szCs w:val="20"/>
                <w:color w:val="auto"/>
              </w:rPr>
            </w:pPr>
            <w:r>
              <w:rPr>
                <w:rFonts w:ascii="Arial" w:cs="Arial" w:eastAsia="Arial" w:hAnsi="Arial"/>
                <w:sz w:val="17"/>
                <w:szCs w:val="17"/>
                <w:color w:val="auto"/>
              </w:rPr>
              <w:t>State</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2,858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(1,091)</w:t>
            </w:r>
          </w:p>
        </w:tc>
        <w:tc>
          <w:tcPr>
            <w:tcW w:w="20" w:type="dxa"/>
            <w:vAlign w:val="bottom"/>
          </w:tcPr>
          <w:p>
            <w:pPr>
              <w:spacing w:after="0"/>
              <w:rPr>
                <w:sz w:val="19"/>
                <w:szCs w:val="19"/>
                <w:color w:val="auto"/>
              </w:rPr>
            </w:pPr>
          </w:p>
        </w:tc>
      </w:tr>
      <w:tr>
        <w:trPr>
          <w:trHeight w:val="223"/>
        </w:trPr>
        <w:tc>
          <w:tcPr>
            <w:tcW w:w="6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2,462</w:t>
            </w:r>
          </w:p>
        </w:tc>
        <w:tc>
          <w:tcPr>
            <w:tcW w:w="20" w:type="dxa"/>
            <w:vAlign w:val="bottom"/>
          </w:tcPr>
          <w:p>
            <w:pPr>
              <w:spacing w:after="0"/>
              <w:rPr>
                <w:sz w:val="19"/>
                <w:szCs w:val="19"/>
                <w:color w:val="auto"/>
              </w:rPr>
            </w:pPr>
          </w:p>
        </w:tc>
      </w:tr>
      <w:tr>
        <w:trPr>
          <w:trHeight w:val="216"/>
        </w:trPr>
        <w:tc>
          <w:tcPr>
            <w:tcW w:w="6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5,358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(3,629)</w:t>
            </w:r>
          </w:p>
        </w:tc>
        <w:tc>
          <w:tcPr>
            <w:tcW w:w="20" w:type="dxa"/>
            <w:vAlign w:val="bottom"/>
          </w:tcPr>
          <w:p>
            <w:pPr>
              <w:spacing w:after="0"/>
              <w:rPr>
                <w:sz w:val="18"/>
                <w:szCs w:val="18"/>
                <w:color w:val="auto"/>
              </w:rPr>
            </w:pPr>
          </w:p>
        </w:tc>
      </w:tr>
      <w:tr>
        <w:trPr>
          <w:trHeight w:val="236"/>
        </w:trPr>
        <w:tc>
          <w:tcPr>
            <w:tcW w:w="6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5,617</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20" w:type="dxa"/>
            <w:vAlign w:val="bottom"/>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1"/>
        </w:trPr>
        <w:tc>
          <w:tcPr>
            <w:tcW w:w="11220" w:type="dxa"/>
            <w:vAlign w:val="bottom"/>
            <w:gridSpan w:val="17"/>
          </w:tcPr>
          <w:p>
            <w:pPr>
              <w:spacing w:after="0"/>
              <w:rPr>
                <w:sz w:val="20"/>
                <w:szCs w:val="20"/>
                <w:color w:val="auto"/>
              </w:rPr>
            </w:pPr>
            <w:r>
              <w:rPr>
                <w:rFonts w:ascii="Arial" w:cs="Arial" w:eastAsia="Arial" w:hAnsi="Arial"/>
                <w:sz w:val="17"/>
                <w:szCs w:val="17"/>
                <w:i w:val="1"/>
                <w:iCs w:val="1"/>
                <w:color w:val="auto"/>
                <w:w w:val="98"/>
              </w:rPr>
              <w:t>Reconciliation Between the Expected Income Tax Provision Applying the Domestic Federal Statutory Tax Rate and the Reported Income Tax Provision</w:t>
            </w:r>
          </w:p>
        </w:tc>
      </w:tr>
      <w:tr>
        <w:trPr>
          <w:trHeight w:val="357"/>
        </w:trPr>
        <w:tc>
          <w:tcPr>
            <w:tcW w:w="6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Fiscal Years Ended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128"/>
        </w:trPr>
        <w:tc>
          <w:tcPr>
            <w:tcW w:w="6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5"/>
          </w:tcPr>
          <w:p>
            <w:pPr>
              <w:ind w:left="80"/>
              <w:spacing w:after="0" w:line="128"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920" w:type="dxa"/>
            <w:vAlign w:val="bottom"/>
          </w:tcPr>
          <w:p>
            <w:pPr>
              <w:jc w:val="center"/>
              <w:ind w:left="96"/>
              <w:spacing w:after="0" w:line="128"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240"/>
              <w:spacing w:after="0" w:line="128" w:lineRule="exact"/>
              <w:rPr>
                <w:sz w:val="20"/>
                <w:szCs w:val="20"/>
                <w:color w:val="auto"/>
              </w:rPr>
            </w:pPr>
            <w:r>
              <w:rPr>
                <w:rFonts w:ascii="Arial" w:cs="Arial" w:eastAsia="Arial" w:hAnsi="Arial"/>
                <w:sz w:val="14"/>
                <w:szCs w:val="14"/>
                <w:b w:val="1"/>
                <w:bCs w:val="1"/>
                <w:color w:val="auto"/>
              </w:rPr>
              <w:t>June 30,</w:t>
            </w:r>
          </w:p>
        </w:tc>
      </w:tr>
      <w:tr>
        <w:trPr>
          <w:trHeight w:val="188"/>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188"/>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benefit for federal income taxes at the statutory rate</w:t>
            </w:r>
          </w:p>
        </w:tc>
        <w:tc>
          <w:tcPr>
            <w:tcW w:w="3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141"/>
              <w:spacing w:after="0"/>
              <w:rPr>
                <w:sz w:val="20"/>
                <w:szCs w:val="20"/>
                <w:color w:val="auto"/>
              </w:rPr>
            </w:pPr>
            <w:r>
              <w:rPr>
                <w:rFonts w:ascii="Arial" w:cs="Arial" w:eastAsia="Arial" w:hAnsi="Arial"/>
                <w:sz w:val="17"/>
                <w:szCs w:val="17"/>
                <w:color w:val="auto"/>
                <w:w w:val="84"/>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(12,239)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(7,695)</w:t>
            </w:r>
          </w:p>
        </w:tc>
      </w:tr>
      <w:tr>
        <w:trPr>
          <w:trHeight w:val="223"/>
        </w:trPr>
        <w:tc>
          <w:tcPr>
            <w:tcW w:w="636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96"/>
              </w:rPr>
              <w:t>(1,971)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(1,240)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(768)</w:t>
            </w: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Impairment of non-deductible goodwill</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2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7"/>
                <w:szCs w:val="17"/>
                <w:color w:val="auto"/>
              </w:rPr>
              <w:t>Charges without tax benefit</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1,707</w:t>
            </w:r>
          </w:p>
        </w:tc>
        <w:tc>
          <w:tcPr>
            <w:tcW w:w="20" w:type="dxa"/>
            <w:vAlign w:val="bottom"/>
          </w:tcPr>
          <w:p>
            <w:pPr>
              <w:spacing w:after="0"/>
              <w:rPr>
                <w:sz w:val="19"/>
                <w:szCs w:val="19"/>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Change in valuation allowance</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2"/>
              </w:rPr>
              <w:t>17,943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20" w:type="dxa"/>
            <w:vAlign w:val="bottom"/>
            <w:shd w:val="clear" w:color="auto" w:fill="CCEEFF"/>
          </w:tcPr>
          <w:p>
            <w:pPr>
              <w:spacing w:after="0"/>
              <w:rPr>
                <w:sz w:val="19"/>
                <w:szCs w:val="19"/>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7"/>
                <w:szCs w:val="17"/>
                <w:color w:val="auto"/>
              </w:rPr>
              <w:t>Excess tax expense (benefit) on stock-based compensation</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1,826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19"/>
                <w:szCs w:val="19"/>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and other tax credits</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(1,724)</w:t>
            </w:r>
          </w:p>
        </w:tc>
      </w:tr>
      <w:tr>
        <w:trPr>
          <w:trHeight w:val="223"/>
        </w:trPr>
        <w:tc>
          <w:tcPr>
            <w:tcW w:w="6360" w:type="dxa"/>
            <w:vAlign w:val="bottom"/>
          </w:tcPr>
          <w:p>
            <w:pPr>
              <w:ind w:left="20"/>
              <w:spacing w:after="0"/>
              <w:rPr>
                <w:sz w:val="20"/>
                <w:szCs w:val="20"/>
                <w:color w:val="auto"/>
              </w:rPr>
            </w:pPr>
            <w:r>
              <w:rPr>
                <w:rFonts w:ascii="Arial" w:cs="Arial" w:eastAsia="Arial" w:hAnsi="Arial"/>
                <w:sz w:val="17"/>
                <w:szCs w:val="17"/>
                <w:color w:val="auto"/>
              </w:rPr>
              <w:t>Foreign tax differential</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(132)</w:t>
            </w: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Federal rate differential net operating loss carryback</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7"/>
                <w:szCs w:val="17"/>
                <w:color w:val="auto"/>
              </w:rPr>
              <w:t>Change in uncertain tax positions</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9"/>
                <w:szCs w:val="19"/>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0" w:type="dxa"/>
            <w:vAlign w:val="bottom"/>
            <w:tcBorders>
              <w:bottom w:val="single" w:sz="8" w:color="auto"/>
            </w:tcBorders>
            <w:shd w:val="clear" w:color="auto" w:fill="CCEEFF"/>
          </w:tcPr>
          <w:p>
            <w:pPr>
              <w:spacing w:after="0"/>
              <w:rPr>
                <w:sz w:val="19"/>
                <w:szCs w:val="19"/>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7"/>
                <w:szCs w:val="17"/>
                <w:color w:val="auto"/>
              </w:rPr>
              <w:t>Provision (benefit) for federal, state and foreign income taxes</w:t>
            </w:r>
          </w:p>
        </w:tc>
        <w:tc>
          <w:tcPr>
            <w:tcW w:w="300" w:type="dxa"/>
            <w:vAlign w:val="bottom"/>
          </w:tcPr>
          <w:p>
            <w:pPr>
              <w:spacing w:after="0"/>
              <w:rPr>
                <w:sz w:val="18"/>
                <w:szCs w:val="18"/>
                <w:color w:val="auto"/>
              </w:rPr>
            </w:pPr>
          </w:p>
        </w:tc>
        <w:tc>
          <w:tcPr>
            <w:tcW w:w="740" w:type="dxa"/>
            <w:vAlign w:val="bottom"/>
            <w:gridSpan w:val="2"/>
          </w:tcPr>
          <w:p>
            <w:pPr>
              <w:jc w:val="center"/>
              <w:ind w:left="141"/>
              <w:spacing w:after="0"/>
              <w:rPr>
                <w:sz w:val="20"/>
                <w:szCs w:val="20"/>
                <w:color w:val="auto"/>
              </w:rPr>
            </w:pPr>
            <w:r>
              <w:rPr>
                <w:rFonts w:ascii="Arial" w:cs="Arial" w:eastAsia="Arial" w:hAnsi="Arial"/>
                <w:sz w:val="17"/>
                <w:szCs w:val="17"/>
                <w:color w:val="auto"/>
                <w:w w:val="84"/>
              </w:rPr>
              <w:t>$</w:t>
            </w:r>
          </w:p>
        </w:tc>
        <w:tc>
          <w:tcPr>
            <w:tcW w:w="4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5,617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(12,039)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(3,570)</w:t>
            </w:r>
          </w:p>
        </w:tc>
      </w:tr>
      <w:tr>
        <w:trPr>
          <w:trHeight w:val="20"/>
        </w:trPr>
        <w:tc>
          <w:tcPr>
            <w:tcW w:w="6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291465</wp:posOffset>
            </wp:positionV>
            <wp:extent cx="799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0" w:hanging="319"/>
        <w:spacing w:after="0" w:line="250" w:lineRule="auto"/>
        <w:tabs>
          <w:tab w:leader="none" w:pos="5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fiscal 2022, we impaired $18.3 million of goodwill, which included $5.4 million of non-deductible goodwill. In fiscal 2020, we impaired $32.9 million of goodwill, which included $8.6 million of non-deductible goodwill. See Note 4 - Goodwill and Other Intangible Assets for more information about the impairments.</w:t>
      </w:r>
    </w:p>
    <w:p>
      <w:pPr>
        <w:jc w:val="both"/>
        <w:ind w:left="560" w:hanging="319"/>
        <w:spacing w:after="0" w:line="250" w:lineRule="auto"/>
        <w:tabs>
          <w:tab w:leader="none" w:pos="5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fiscal 2022, due to the existence of a cumulative loss over a three-year period, we recorded a full valuation allowance of $17.9 million against our deferred tax assets. These assets are primarily comprised of federal net operating losses, which have an indefinite carryforward, federal tax credits and state net operating losses. To the extent we generate taxable income in the future, or cumulative losses are no longer present and our future projections for growth or tax planning strategies are demonstrated, we will realize the benefit associated with the net operating losses for which the valuation allowance has been provided. In fiscal 2021, we placed $2.8 million of valuation allowances, including $1.5 million on certain state net operating loss carryforwards due to a recent history of cumulative losses for a subsidiary. In fiscal 2020, we placed $3.1 million of valuation allowances on net operating loss carryforwards and foreign tax credits primarily related to Canada.</w:t>
      </w:r>
    </w:p>
    <w:p>
      <w:pPr>
        <w:spacing w:after="0" w:line="3" w:lineRule="exact"/>
        <w:rPr>
          <w:rFonts w:ascii="Arial" w:cs="Arial" w:eastAsia="Arial" w:hAnsi="Arial"/>
          <w:sz w:val="14"/>
          <w:szCs w:val="14"/>
          <w:color w:val="auto"/>
        </w:rPr>
      </w:pPr>
    </w:p>
    <w:p>
      <w:pPr>
        <w:ind w:left="540" w:hanging="299"/>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Relates to fiscal 2021 net operating losses carried back under provisions of the CARES Act to fiscal years 2016 and 2017 which had a 35% federal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Components of our Deferred Tax Assets and Liabilities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center"/>
              <w:ind w:right="435"/>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Warranty reserve</w:t>
            </w: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9"/>
                <w:szCs w:val="19"/>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Bad debt reserve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Paid-time-off accrual</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Insurance reserve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Legal reserve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operating loss benefit and credit carryforwards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14,966</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Accrued compensation and pension</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insurance</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Stock compensation expense on nonvested deferred shares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losses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Restructuring reserve</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Book over tax amortization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3,765</w:t>
            </w:r>
          </w:p>
        </w:tc>
        <w:tc>
          <w:tcPr>
            <w:tcW w:w="0" w:type="dxa"/>
            <w:vAlign w:val="bottom"/>
          </w:tcPr>
          <w:p>
            <w:pPr>
              <w:spacing w:after="0"/>
              <w:rPr>
                <w:sz w:val="1"/>
                <w:szCs w:val="1"/>
                <w:color w:val="auto"/>
              </w:rPr>
            </w:pPr>
          </w:p>
        </w:tc>
      </w:tr>
      <w:tr>
        <w:trPr>
          <w:trHeight w:val="223"/>
        </w:trPr>
        <w:tc>
          <w:tcPr>
            <w:tcW w:w="7620" w:type="dxa"/>
            <w:vAlign w:val="bottom"/>
          </w:tcPr>
          <w:p>
            <w:pPr>
              <w:ind w:left="340"/>
              <w:spacing w:after="0"/>
              <w:rPr>
                <w:sz w:val="20"/>
                <w:szCs w:val="20"/>
                <w:color w:val="auto"/>
              </w:rPr>
            </w:pPr>
            <w:r>
              <w:rPr>
                <w:rFonts w:ascii="Arial" w:cs="Arial" w:eastAsia="Arial" w:hAnsi="Arial"/>
                <w:sz w:val="17"/>
                <w:szCs w:val="17"/>
                <w:color w:val="auto"/>
              </w:rPr>
              <w:t>Deferred FICA</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and other</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Valuation allowance</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(11,104)</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tax assets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16,172</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over book depreciation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10,315</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Receivable holdbacks and other</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deferred tax liabilities</w:t>
            </w:r>
          </w:p>
        </w:tc>
        <w:tc>
          <w:tcPr>
            <w:tcW w:w="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10,911</w:t>
            </w:r>
          </w:p>
        </w:tc>
        <w:tc>
          <w:tcPr>
            <w:tcW w:w="0" w:type="dxa"/>
            <w:vAlign w:val="bottom"/>
          </w:tcPr>
          <w:p>
            <w:pPr>
              <w:spacing w:after="0"/>
              <w:rPr>
                <w:sz w:val="1"/>
                <w:szCs w:val="1"/>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7"/>
                <w:szCs w:val="17"/>
                <w:color w:val="auto"/>
              </w:rPr>
              <w:t>Net deferred tax asset (liability)</w:t>
            </w: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5,261</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7"/>
                <w:szCs w:val="17"/>
                <w:color w:val="auto"/>
              </w:rPr>
              <w:t>As reported in the Consolidated Balance Sheets:</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7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center"/>
              <w:ind w:right="435"/>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0"/>
        </w:trPr>
        <w:tc>
          <w:tcPr>
            <w:tcW w:w="7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0"/>
        </w:trPr>
        <w:tc>
          <w:tcPr>
            <w:tcW w:w="7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assets</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5,295</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 liabilities</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deferred tax asset (liability)</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5,261</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Allowance</w:t>
      </w:r>
    </w:p>
    <w:p>
      <w:pPr>
        <w:spacing w:after="0" w:line="172"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In fiscal 2022, due to the existence of a cumulative loss over a three-year period, we recorded a full valuation allowance of $17.9 million against our deferred tax assets. These assets are primarily comprised of federal net operating losses, which have an indefinite carryforward, federal tax credits and state net operating losses. To the extent we generate taxable income in the future, or cumulative losses are no longer present and our future projections for growth or tax planning strategies are demonstrated, we will realize the benefit associated with the net operating losses for which the valuation allowance has been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Loss and Tax Credit Carryforwards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net operating loss carryforwards and tax credit carryforwards in federal, state and foreign jurisdictions. The valuation allowance at June 30, 2022 and June 30, 2021 reduces the recognized tax benefit of these carryforwards to an amount that is more likely than not to be realized. The gross carryforwards will generally expire as shown below for each jurisdiction: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Operating Loss and Tax Credit Carryforwards</w:t>
            </w:r>
          </w:p>
        </w:tc>
        <w:tc>
          <w:tcPr>
            <w:tcW w:w="4160" w:type="dxa"/>
            <w:vAlign w:val="bottom"/>
          </w:tcPr>
          <w:p>
            <w:pPr>
              <w:ind w:left="1480"/>
              <w:spacing w:after="0"/>
              <w:rPr>
                <w:sz w:val="20"/>
                <w:szCs w:val="20"/>
                <w:color w:val="auto"/>
              </w:rPr>
            </w:pPr>
            <w:r>
              <w:rPr>
                <w:rFonts w:ascii="Arial" w:cs="Arial" w:eastAsia="Arial" w:hAnsi="Arial"/>
                <w:sz w:val="14"/>
                <w:szCs w:val="14"/>
                <w:b w:val="1"/>
                <w:bCs w:val="1"/>
                <w:color w:val="auto"/>
              </w:rPr>
              <w:t>Expiration Period</w:t>
            </w:r>
          </w:p>
        </w:tc>
        <w:tc>
          <w:tcPr>
            <w:tcW w:w="1180" w:type="dxa"/>
            <w:vAlign w:val="bottom"/>
          </w:tcPr>
          <w:p>
            <w:pPr>
              <w:spacing w:after="0"/>
              <w:rPr>
                <w:sz w:val="15"/>
                <w:szCs w:val="15"/>
                <w:color w:val="auto"/>
              </w:rPr>
            </w:pPr>
          </w:p>
        </w:tc>
        <w:tc>
          <w:tcPr>
            <w:tcW w:w="1600" w:type="dxa"/>
            <w:vAlign w:val="bottom"/>
          </w:tcPr>
          <w:p>
            <w:pPr>
              <w:jc w:val="right"/>
              <w:ind w:right="95"/>
              <w:spacing w:after="0"/>
              <w:rPr>
                <w:sz w:val="20"/>
                <w:szCs w:val="20"/>
                <w:color w:val="auto"/>
              </w:rPr>
            </w:pPr>
            <w:r>
              <w:rPr>
                <w:rFonts w:ascii="Arial" w:cs="Arial" w:eastAsia="Arial" w:hAnsi="Arial"/>
                <w:sz w:val="14"/>
                <w:szCs w:val="14"/>
                <w:b w:val="1"/>
                <w:bCs w:val="1"/>
                <w:color w:val="auto"/>
                <w:w w:val="91"/>
              </w:rPr>
              <w:t>Amount (in thousands)</w:t>
            </w:r>
          </w:p>
        </w:tc>
      </w:tr>
      <w:tr>
        <w:trPr>
          <w:trHeight w:val="24"/>
        </w:trPr>
        <w:tc>
          <w:tcPr>
            <w:tcW w:w="43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net operating loss</w:t>
            </w:r>
          </w:p>
        </w:tc>
        <w:tc>
          <w:tcPr>
            <w:tcW w:w="4160" w:type="dxa"/>
            <w:vAlign w:val="bottom"/>
            <w:shd w:val="clear" w:color="auto" w:fill="CCEEFF"/>
          </w:tcPr>
          <w:p>
            <w:pPr>
              <w:ind w:left="1480"/>
              <w:spacing w:after="0"/>
              <w:rPr>
                <w:sz w:val="20"/>
                <w:szCs w:val="20"/>
                <w:color w:val="auto"/>
              </w:rPr>
            </w:pPr>
            <w:r>
              <w:rPr>
                <w:rFonts w:ascii="Arial" w:cs="Arial" w:eastAsia="Arial" w:hAnsi="Arial"/>
                <w:sz w:val="17"/>
                <w:szCs w:val="17"/>
                <w:color w:val="auto"/>
              </w:rPr>
              <w:t>Indefinite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27,207</w:t>
            </w:r>
          </w:p>
        </w:tc>
      </w:tr>
      <w:tr>
        <w:trPr>
          <w:trHeight w:val="223"/>
        </w:trPr>
        <w:tc>
          <w:tcPr>
            <w:tcW w:w="4300" w:type="dxa"/>
            <w:vAlign w:val="bottom"/>
          </w:tcPr>
          <w:p>
            <w:pPr>
              <w:ind w:left="20"/>
              <w:spacing w:after="0"/>
              <w:rPr>
                <w:sz w:val="20"/>
                <w:szCs w:val="20"/>
                <w:color w:val="auto"/>
              </w:rPr>
            </w:pPr>
            <w:r>
              <w:rPr>
                <w:rFonts w:ascii="Arial" w:cs="Arial" w:eastAsia="Arial" w:hAnsi="Arial"/>
                <w:sz w:val="17"/>
                <w:szCs w:val="17"/>
                <w:color w:val="auto"/>
              </w:rPr>
              <w:t>Federal tax credits</w:t>
            </w:r>
          </w:p>
        </w:tc>
        <w:tc>
          <w:tcPr>
            <w:tcW w:w="4160" w:type="dxa"/>
            <w:vAlign w:val="bottom"/>
          </w:tcPr>
          <w:p>
            <w:pPr>
              <w:ind w:left="1480"/>
              <w:spacing w:after="0"/>
              <w:rPr>
                <w:sz w:val="20"/>
                <w:szCs w:val="20"/>
                <w:color w:val="auto"/>
              </w:rPr>
            </w:pPr>
            <w:r>
              <w:rPr>
                <w:rFonts w:ascii="Arial" w:cs="Arial" w:eastAsia="Arial" w:hAnsi="Arial"/>
                <w:sz w:val="17"/>
                <w:szCs w:val="17"/>
                <w:color w:val="auto"/>
              </w:rPr>
              <w:t>June 2041 to June 2042</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1,700</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foreign tax credits</w:t>
            </w:r>
          </w:p>
        </w:tc>
        <w:tc>
          <w:tcPr>
            <w:tcW w:w="4160" w:type="dxa"/>
            <w:vAlign w:val="bottom"/>
            <w:shd w:val="clear" w:color="auto" w:fill="CCEEFF"/>
          </w:tcPr>
          <w:p>
            <w:pPr>
              <w:ind w:left="1480"/>
              <w:spacing w:after="0"/>
              <w:rPr>
                <w:sz w:val="20"/>
                <w:szCs w:val="20"/>
                <w:color w:val="auto"/>
              </w:rPr>
            </w:pPr>
            <w:r>
              <w:rPr>
                <w:rFonts w:ascii="Arial" w:cs="Arial" w:eastAsia="Arial" w:hAnsi="Arial"/>
                <w:sz w:val="17"/>
                <w:szCs w:val="17"/>
                <w:color w:val="auto"/>
              </w:rPr>
              <w:t>June 2023 to June 2025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r>
      <w:tr>
        <w:trPr>
          <w:trHeight w:val="223"/>
        </w:trPr>
        <w:tc>
          <w:tcPr>
            <w:tcW w:w="4300" w:type="dxa"/>
            <w:vAlign w:val="bottom"/>
          </w:tcPr>
          <w:p>
            <w:pPr>
              <w:ind w:left="20"/>
              <w:spacing w:after="0"/>
              <w:rPr>
                <w:sz w:val="20"/>
                <w:szCs w:val="20"/>
                <w:color w:val="auto"/>
              </w:rPr>
            </w:pPr>
            <w:r>
              <w:rPr>
                <w:rFonts w:ascii="Arial" w:cs="Arial" w:eastAsia="Arial" w:hAnsi="Arial"/>
                <w:sz w:val="17"/>
                <w:szCs w:val="17"/>
                <w:color w:val="auto"/>
              </w:rPr>
              <w:t>State net operating losses</w:t>
            </w:r>
          </w:p>
        </w:tc>
        <w:tc>
          <w:tcPr>
            <w:tcW w:w="4160" w:type="dxa"/>
            <w:vAlign w:val="bottom"/>
          </w:tcPr>
          <w:p>
            <w:pPr>
              <w:ind w:left="1480"/>
              <w:spacing w:after="0"/>
              <w:rPr>
                <w:sz w:val="20"/>
                <w:szCs w:val="20"/>
                <w:color w:val="auto"/>
              </w:rPr>
            </w:pPr>
            <w:r>
              <w:rPr>
                <w:rFonts w:ascii="Arial" w:cs="Arial" w:eastAsia="Arial" w:hAnsi="Arial"/>
                <w:sz w:val="17"/>
                <w:szCs w:val="17"/>
                <w:color w:val="auto"/>
              </w:rPr>
              <w:t>June 2025 to indefinite</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73,889</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tax credits</w:t>
            </w:r>
          </w:p>
        </w:tc>
        <w:tc>
          <w:tcPr>
            <w:tcW w:w="4160" w:type="dxa"/>
            <w:vAlign w:val="bottom"/>
            <w:shd w:val="clear" w:color="auto" w:fill="CCEEFF"/>
          </w:tcPr>
          <w:p>
            <w:pPr>
              <w:ind w:left="1480"/>
              <w:spacing w:after="0"/>
              <w:rPr>
                <w:sz w:val="20"/>
                <w:szCs w:val="20"/>
                <w:color w:val="auto"/>
              </w:rPr>
            </w:pPr>
            <w:r>
              <w:rPr>
                <w:rFonts w:ascii="Arial" w:cs="Arial" w:eastAsia="Arial" w:hAnsi="Arial"/>
                <w:sz w:val="17"/>
                <w:szCs w:val="17"/>
                <w:color w:val="auto"/>
              </w:rPr>
              <w:t>June 2033 to indefinite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w:t>
            </w:r>
          </w:p>
        </w:tc>
      </w:tr>
      <w:tr>
        <w:trPr>
          <w:trHeight w:val="223"/>
        </w:trPr>
        <w:tc>
          <w:tcPr>
            <w:tcW w:w="4300" w:type="dxa"/>
            <w:vAlign w:val="bottom"/>
          </w:tcPr>
          <w:p>
            <w:pPr>
              <w:ind w:left="20"/>
              <w:spacing w:after="0"/>
              <w:rPr>
                <w:sz w:val="20"/>
                <w:szCs w:val="20"/>
                <w:color w:val="auto"/>
              </w:rPr>
            </w:pPr>
            <w:r>
              <w:rPr>
                <w:rFonts w:ascii="Arial" w:cs="Arial" w:eastAsia="Arial" w:hAnsi="Arial"/>
                <w:sz w:val="17"/>
                <w:szCs w:val="17"/>
                <w:color w:val="auto"/>
              </w:rPr>
              <w:t>Foreign net operating losses</w:t>
            </w:r>
          </w:p>
        </w:tc>
        <w:tc>
          <w:tcPr>
            <w:tcW w:w="4160" w:type="dxa"/>
            <w:vAlign w:val="bottom"/>
          </w:tcPr>
          <w:p>
            <w:pPr>
              <w:ind w:left="1480"/>
              <w:spacing w:after="0"/>
              <w:rPr>
                <w:sz w:val="20"/>
                <w:szCs w:val="20"/>
                <w:color w:val="auto"/>
              </w:rPr>
            </w:pPr>
            <w:r>
              <w:rPr>
                <w:rFonts w:ascii="Arial" w:cs="Arial" w:eastAsia="Arial" w:hAnsi="Arial"/>
                <w:sz w:val="17"/>
                <w:szCs w:val="17"/>
                <w:color w:val="auto"/>
              </w:rPr>
              <w:t>June 2029 to June 2042</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37,379</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credits</w:t>
            </w:r>
          </w:p>
        </w:tc>
        <w:tc>
          <w:tcPr>
            <w:tcW w:w="4160" w:type="dxa"/>
            <w:vAlign w:val="bottom"/>
            <w:shd w:val="clear" w:color="auto" w:fill="CCEEFF"/>
          </w:tcPr>
          <w:p>
            <w:pPr>
              <w:ind w:left="1480"/>
              <w:spacing w:after="0"/>
              <w:rPr>
                <w:sz w:val="20"/>
                <w:szCs w:val="20"/>
                <w:color w:val="auto"/>
              </w:rPr>
            </w:pPr>
            <w:r>
              <w:rPr>
                <w:rFonts w:ascii="Arial" w:cs="Arial" w:eastAsia="Arial" w:hAnsi="Arial"/>
                <w:sz w:val="17"/>
                <w:szCs w:val="17"/>
                <w:color w:val="auto"/>
              </w:rPr>
              <w:t>June 2035 to June 2042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Operating Loss Carryback Refund</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provisions in the Coronavirus Aid, Relief, and Economic Security (CARES) Act (the "CARES Act"), we had an income tax benefit from the ability to carryback the fiscal 2021 federal net operating loss to a period with a higher statutory federal income tax rate. We estimate that we will receive a $12.6 million tax refund in connection with this carryback, which is included in income taxes receivable in the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Refund of Overpayment of Estimated Taxes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 January 2022, we received a $2.4 million tax refund in connection with overpayments of estimated taxes from prior years.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Payroll Taxes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2022, we have a balance of $5.6 million remaining on U.S. payroll taxes we deferred through provisions of the CARES Act. We paid half of the original deferred payroll tax balance during the second quarter of fiscal 2022 and must repay the remaining balance by December 31, 2022. The remaining balance of deferred payroll taxes is included within accrued wages and benefits in the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general, it is our practice and intention to reinvest the earnings of our foreign subsidiaries in our foreign operations. We do not provide for outside basis differences under the indefinite reinvestment assertion of ASC 740-30.</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file tax returns in multiple domestic and foreign taxing jurisdictions. With a few exceptions, we are no longer subject to examination by taxing authorities through fiscal 2017. At June 30, 2022, we updated our evaluation of our open tax years in all known jurisdictions. As of June 30, 2022, we have a $0.3 million liability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7—Commitments and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Insurance Reserves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maintain insurance coverage for various aspects of our operations. However, exposure to potential losses is retained through the use of deductibles, self-insured retentions and coverage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There can be no assurance that our insurance and the additional insurance coverage provided by our subcontractors will fully protect us against a valid claim or loss under the contracts with our customers.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Unpriced Change Orders and Claims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June 30, 2022 and June 30, 2021, costs and estimated earnings in excess of billings on uncompleted contracts included revenue for unpriced change orders and claims of $8.9 million and $14.6 million, respectively. The amounts ultimately realized may be significantly different than the recorded amounts resulting in a material adjustment to future earnings. Generally we expect collection of amounts related to unpriced change orders and claims within twelve months. However, customers may not pay these amounts until final resolution of related claims, which may extend beyond one year.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third quarter of fiscal 2020, we commenced litigation in an effort to collect accounts receivable from an iron and steel customer following the deterioration of the relationship in the second quarter of fiscal 2020. The unpaid receivable balance at June 30, 2022 was $17.0 million. Litigation is unpredictable, however, based on the terms of the contract with this customer, we believe we are entitled to collect the full amount owed under the contract.</w:t>
      </w:r>
    </w:p>
    <w:p>
      <w:pPr>
        <w:spacing w:after="0" w:line="1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and our subsidiaries are participants in various legal actions. It is the opinion of management that none of the other known legal actions will have a material impact on our financial position, results of operations or liquidity.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Leases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Real estate leases accounted for approximately 96% of all right-of-use assets as of June 30, 2022. Most real estate and information technology equipment leases generally have fixed payments that follow an agreed upon payment schedule and have remaining lease terms ranging from less than a year to 14 years. Construction equipment leases generally have "month-to-month" lease terms that automatically renew as long as the equipment remains in use.</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fiscal 2021 we recorded $0.5 million of impairments to right-of-use assets related to leased office space that was closed in connection with our restructuring activities, see Note 14 – Restructuring Costs for additional information.</w:t>
      </w:r>
    </w:p>
    <w:p>
      <w:pPr>
        <w:sectPr>
          <w:pgSz w:w="11900" w:h="16838" w:orient="portrait"/>
          <w:cols w:equalWidth="0" w:num="1">
            <w:col w:w="11240"/>
          </w:cols>
          <w:pgMar w:left="320" w:top="357" w:right="33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in the Consolidated Statements of Income are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3160" w:val="left"/>
        </w:tabs>
        <w:rPr>
          <w:sz w:val="20"/>
          <w:szCs w:val="20"/>
          <w:color w:val="auto"/>
        </w:rPr>
      </w:pPr>
      <w:r>
        <w:rPr>
          <w:rFonts w:ascii="Arial" w:cs="Arial" w:eastAsia="Arial" w:hAnsi="Arial"/>
          <w:sz w:val="14"/>
          <w:szCs w:val="14"/>
          <w:b w:val="1"/>
          <w:bCs w:val="1"/>
          <w:color w:val="auto"/>
        </w:rPr>
        <w:t>Lease expense</w:t>
      </w:r>
      <w:r>
        <w:rPr>
          <w:sz w:val="20"/>
          <w:szCs w:val="20"/>
          <w:color w:val="auto"/>
        </w:rPr>
        <w:tab/>
      </w:r>
      <w:r>
        <w:rPr>
          <w:rFonts w:ascii="Arial" w:cs="Arial" w:eastAsia="Arial" w:hAnsi="Arial"/>
          <w:sz w:val="12"/>
          <w:szCs w:val="12"/>
          <w:b w:val="1"/>
          <w:bCs w:val="1"/>
          <w:color w:val="auto"/>
        </w:rPr>
        <w:t>Location of Expense in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11365" cy="2584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1365" cy="25844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7"/>
          <w:szCs w:val="17"/>
          <w:color w:val="auto"/>
        </w:rPr>
        <w:t>Operating lease expense</w:t>
      </w:r>
      <w:r>
        <w:rPr>
          <w:sz w:val="20"/>
          <w:szCs w:val="20"/>
          <w:color w:val="auto"/>
        </w:rPr>
        <w:tab/>
      </w:r>
      <w:r>
        <w:rPr>
          <w:rFonts w:ascii="Arial" w:cs="Arial" w:eastAsia="Arial" w:hAnsi="Arial"/>
          <w:sz w:val="15"/>
          <w:szCs w:val="15"/>
          <w:color w:val="auto"/>
        </w:rPr>
        <w:t>Cost of revenue and selling, general and administrative</w:t>
      </w:r>
    </w:p>
    <w:p>
      <w:pPr>
        <w:ind w:left="2680"/>
        <w:spacing w:after="0"/>
        <w:rPr>
          <w:sz w:val="20"/>
          <w:szCs w:val="20"/>
          <w:color w:val="auto"/>
        </w:rPr>
      </w:pPr>
      <w:r>
        <w:rPr>
          <w:rFonts w:ascii="Arial" w:cs="Arial" w:eastAsia="Arial" w:hAnsi="Arial"/>
          <w:sz w:val="17"/>
          <w:szCs w:val="17"/>
          <w:color w:val="auto"/>
        </w:rPr>
        <w:t>expenses</w:t>
      </w:r>
    </w:p>
    <w:p>
      <w:pPr>
        <w:spacing w:after="0" w:line="11" w:lineRule="exact"/>
        <w:rPr>
          <w:sz w:val="20"/>
          <w:szCs w:val="20"/>
          <w:color w:val="auto"/>
        </w:rPr>
      </w:pPr>
    </w:p>
    <w:p>
      <w:pPr>
        <w:ind w:left="20"/>
        <w:spacing w:after="0"/>
        <w:tabs>
          <w:tab w:leader="none" w:pos="2660" w:val="left"/>
        </w:tabs>
        <w:rPr>
          <w:sz w:val="20"/>
          <w:szCs w:val="20"/>
          <w:color w:val="auto"/>
        </w:rPr>
      </w:pPr>
      <w:r>
        <w:rPr>
          <w:rFonts w:ascii="Arial" w:cs="Arial" w:eastAsia="Arial" w:hAnsi="Arial"/>
          <w:sz w:val="17"/>
          <w:szCs w:val="17"/>
          <w:color w:val="auto"/>
        </w:rPr>
        <w:t>Short-term lease expense</w:t>
      </w: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5"/>
          <w:szCs w:val="15"/>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11365" cy="166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1365" cy="1663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Total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191135</wp:posOffset>
            </wp:positionV>
            <wp:extent cx="799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Fiscal Years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2"/>
              </w:rPr>
              <w:t>June 30, 2020</w:t>
            </w:r>
          </w:p>
        </w:tc>
      </w:tr>
      <w:tr>
        <w:trPr>
          <w:trHeight w:val="179"/>
        </w:trPr>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24"/>
        </w:trPr>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7,511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8,386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12,274</w:t>
            </w:r>
          </w:p>
        </w:tc>
      </w:tr>
      <w:tr>
        <w:trPr>
          <w:trHeight w:val="223"/>
        </w:trPr>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37,371</w:t>
            </w:r>
          </w:p>
        </w:tc>
      </w:tr>
      <w:tr>
        <w:trPr>
          <w:trHeight w:val="21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31,736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49,645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80" w:space="600"/>
            <w:col w:w="3960"/>
          </w:cols>
          <w:pgMar w:left="320" w:top="357" w:right="339" w:bottom="1440" w:gutter="0" w:footer="0" w:header="0"/>
          <w:type w:val="continuous"/>
        </w:sectPr>
      </w:pPr>
    </w:p>
    <w:p>
      <w:pPr>
        <w:spacing w:after="0" w:line="96" w:lineRule="exact"/>
        <w:rPr>
          <w:sz w:val="20"/>
          <w:szCs w:val="20"/>
          <w:color w:val="auto"/>
        </w:rPr>
      </w:pPr>
    </w:p>
    <w:p>
      <w:pPr>
        <w:ind w:left="540" w:hanging="299"/>
        <w:spacing w:after="0"/>
        <w:tabs>
          <w:tab w:leader="none" w:pos="5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Primarily represents the lease expense of construction equipment that is subject to month-to-month rental agreements with expected rental durations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The future undiscounted lease payments, as reconciled to the discounted operating lease liabilities presented in our Consolidated Balance Sheets,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4"/>
        </w:trPr>
        <w:tc>
          <w:tcPr>
            <w:tcW w:w="94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Maturity Analysis:</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4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0"/>
              </w:rPr>
              <w:t>(in thousands)</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2023</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6,956</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7"/>
                <w:szCs w:val="17"/>
                <w:color w:val="auto"/>
              </w:rPr>
              <w:t>Fiscal 2024</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5,654</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2025</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7"/>
                <w:szCs w:val="17"/>
                <w:color w:val="auto"/>
              </w:rPr>
              <w:t>Fiscal 2026</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3,400</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2027</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3,288</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8,681</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operating lease payments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31,676</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Imputed interest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present value of future lease payments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25,619</w:t>
            </w: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 of operating lease liabilities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5,715</w:t>
            </w:r>
          </w:p>
        </w:tc>
        <w:tc>
          <w:tcPr>
            <w:tcW w:w="0" w:type="dxa"/>
            <w:vAlign w:val="bottom"/>
          </w:tcPr>
          <w:p>
            <w:pPr>
              <w:spacing w:after="0"/>
              <w:rPr>
                <w:sz w:val="1"/>
                <w:szCs w:val="1"/>
                <w:color w:val="auto"/>
              </w:rPr>
            </w:pPr>
          </w:p>
        </w:tc>
      </w:tr>
      <w:tr>
        <w:trPr>
          <w:trHeight w:val="241"/>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 operating lease liabilities</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19,904</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11240" w:type="dxa"/>
            <w:vAlign w:val="bottom"/>
            <w:gridSpan w:val="3"/>
          </w:tcPr>
          <w:p>
            <w:pPr>
              <w:spacing w:after="0"/>
              <w:rPr>
                <w:sz w:val="20"/>
                <w:szCs w:val="20"/>
                <w:color w:val="auto"/>
              </w:rPr>
            </w:pPr>
            <w:r>
              <w:rPr>
                <w:rFonts w:ascii="Arial" w:cs="Arial" w:eastAsia="Arial" w:hAnsi="Arial"/>
                <w:sz w:val="17"/>
                <w:szCs w:val="17"/>
                <w:color w:val="auto"/>
              </w:rPr>
              <w:t>The following is a summary of the weighted average remaining operating lease term and weighted average discount rate as of June 30, 2022:</w:t>
            </w:r>
          </w:p>
        </w:tc>
        <w:tc>
          <w:tcPr>
            <w:tcW w:w="0" w:type="dxa"/>
            <w:vAlign w:val="bottom"/>
          </w:tcPr>
          <w:p>
            <w:pPr>
              <w:spacing w:after="0"/>
              <w:rPr>
                <w:sz w:val="1"/>
                <w:szCs w:val="1"/>
                <w:color w:val="auto"/>
              </w:rPr>
            </w:pPr>
          </w:p>
        </w:tc>
      </w:tr>
      <w:tr>
        <w:trPr>
          <w:trHeight w:val="263"/>
        </w:trPr>
        <w:tc>
          <w:tcPr>
            <w:tcW w:w="9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 years</w:t>
            </w:r>
          </w:p>
        </w:tc>
        <w:tc>
          <w:tcPr>
            <w:tcW w:w="0" w:type="dxa"/>
            <w:vAlign w:val="bottom"/>
          </w:tcPr>
          <w:p>
            <w:pPr>
              <w:spacing w:after="0"/>
              <w:rPr>
                <w:sz w:val="1"/>
                <w:szCs w:val="1"/>
                <w:color w:val="auto"/>
              </w:rPr>
            </w:pPr>
          </w:p>
        </w:tc>
      </w:tr>
      <w:tr>
        <w:trPr>
          <w:trHeight w:val="222"/>
        </w:trPr>
        <w:tc>
          <w:tcPr>
            <w:tcW w:w="948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761"/>
        </w:trPr>
        <w:tc>
          <w:tcPr>
            <w:tcW w:w="9480" w:type="dxa"/>
            <w:vAlign w:val="bottom"/>
          </w:tcPr>
          <w:p>
            <w:pPr>
              <w:spacing w:after="0"/>
              <w:rPr>
                <w:sz w:val="20"/>
                <w:szCs w:val="20"/>
                <w:color w:val="auto"/>
              </w:rPr>
            </w:pPr>
            <w:r>
              <w:rPr>
                <w:rFonts w:ascii="Arial" w:cs="Arial" w:eastAsia="Arial" w:hAnsi="Arial"/>
                <w:sz w:val="17"/>
                <w:szCs w:val="17"/>
                <w:color w:val="auto"/>
              </w:rPr>
              <w:t>Supplemental cash flow information related to leases is as follows:</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Fiscal Year Ended</w:t>
            </w:r>
          </w:p>
        </w:tc>
        <w:tc>
          <w:tcPr>
            <w:tcW w:w="0" w:type="dxa"/>
            <w:vAlign w:val="bottom"/>
          </w:tcPr>
          <w:p>
            <w:pPr>
              <w:spacing w:after="0"/>
              <w:rPr>
                <w:sz w:val="1"/>
                <w:szCs w:val="1"/>
                <w:color w:val="auto"/>
              </w:rPr>
            </w:pPr>
          </w:p>
        </w:tc>
      </w:tr>
      <w:tr>
        <w:trPr>
          <w:trHeight w:val="197"/>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37"/>
              <w:spacing w:after="0"/>
              <w:rPr>
                <w:sz w:val="20"/>
                <w:szCs w:val="20"/>
                <w:color w:val="auto"/>
              </w:rPr>
            </w:pPr>
            <w:r>
              <w:rPr>
                <w:rFonts w:ascii="Arial" w:cs="Arial" w:eastAsia="Arial" w:hAnsi="Arial"/>
                <w:sz w:val="14"/>
                <w:szCs w:val="14"/>
                <w:color w:val="auto"/>
                <w:w w:val="90"/>
              </w:rPr>
              <w:t>(in thousands)</w:t>
            </w:r>
          </w:p>
        </w:tc>
        <w:tc>
          <w:tcPr>
            <w:tcW w:w="0" w:type="dxa"/>
            <w:vAlign w:val="bottom"/>
          </w:tcPr>
          <w:p>
            <w:pPr>
              <w:spacing w:after="0"/>
              <w:rPr>
                <w:sz w:val="1"/>
                <w:szCs w:val="1"/>
                <w:color w:val="auto"/>
              </w:rPr>
            </w:pPr>
          </w:p>
        </w:tc>
      </w:tr>
      <w:tr>
        <w:trPr>
          <w:trHeight w:val="232"/>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340"/>
              <w:spacing w:after="0"/>
              <w:rPr>
                <w:sz w:val="20"/>
                <w:szCs w:val="20"/>
                <w:color w:val="auto"/>
              </w:rPr>
            </w:pPr>
            <w:r>
              <w:rPr>
                <w:rFonts w:ascii="Arial" w:cs="Arial" w:eastAsia="Arial" w:hAnsi="Arial"/>
                <w:sz w:val="17"/>
                <w:szCs w:val="17"/>
                <w:color w:val="auto"/>
              </w:rPr>
              <w:t>Operating lease payments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8,060</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lease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340"/>
              <w:spacing w:after="0"/>
              <w:rPr>
                <w:sz w:val="20"/>
                <w:szCs w:val="20"/>
                <w:color w:val="auto"/>
              </w:rPr>
            </w:pPr>
            <w:r>
              <w:rPr>
                <w:rFonts w:ascii="Arial" w:cs="Arial" w:eastAsia="Arial" w:hAnsi="Arial"/>
                <w:sz w:val="17"/>
                <w:szCs w:val="17"/>
                <w:color w:val="auto"/>
              </w:rPr>
              <w:t>Operating leases</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5,687</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Preferred Stock</w:t>
      </w:r>
    </w:p>
    <w:p>
      <w:pPr>
        <w:spacing w:after="0" w:line="172" w:lineRule="exact"/>
        <w:rPr>
          <w:sz w:val="20"/>
          <w:szCs w:val="20"/>
          <w:color w:val="auto"/>
        </w:rPr>
      </w:pPr>
    </w:p>
    <w:p>
      <w:pPr>
        <w:ind w:right="1900"/>
        <w:spacing w:after="0" w:line="450" w:lineRule="auto"/>
        <w:rPr>
          <w:sz w:val="20"/>
          <w:szCs w:val="20"/>
          <w:color w:val="auto"/>
        </w:rPr>
      </w:pPr>
      <w:r>
        <w:rPr>
          <w:rFonts w:ascii="Arial" w:cs="Arial" w:eastAsia="Arial" w:hAnsi="Arial"/>
          <w:sz w:val="17"/>
          <w:szCs w:val="17"/>
          <w:color w:val="auto"/>
        </w:rPr>
        <w:t xml:space="preserve">We have 5.0 million shares of preferred stock authorized, none of which was issued or outstanding at June 30, 2022 or June 30, 2021. </w:t>
      </w:r>
      <w:r>
        <w:rPr>
          <w:rFonts w:ascii="Arial" w:cs="Arial" w:eastAsia="Arial" w:hAnsi="Arial"/>
          <w:sz w:val="17"/>
          <w:szCs w:val="17"/>
          <w:i w:val="1"/>
          <w:iCs w:val="1"/>
          <w:color w:val="auto"/>
        </w:rPr>
        <w:t>Stock Repurchase Program</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fiscal 2022 and have no current plans to repurchase stock. The terms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of our ABL Facility limit share repurchases to $2.5 million per fiscal year provided that we meet certain availability thresholds and do not violate our Fixed Charge Coverage Ratio financial covenant. There were 1,349,037 shares available for repurchase under the November 2018 Program as of June 30, 2022.</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Shares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stock buyback program, we may withhold shares of common stock to satisfy the tax withholding obligations upon vesting of an employee’s deferred shares. We withheld 76,703, 170,629, and 181,081 shares of common stock during fiscal 2022, 2021, and 2020, respectively, to satisfy these obligations. These shares were returned to our pool of treasury shares. We have 1,097,703 treasury shares as of June 30, 2022 and intend to utilize these treasury shares in connection with equity awards under our incentive plans and for sales to the Employee Stock Purchase Plan.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10—Stock-Based Compensation</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stock-based compensation expense for the fiscal years ended June 30, 2022, June 30, 2021, and June 30, 2020 was $7.9 million, $8.2 million and $9.9 million, respectively. Measured but unrecognized stock-based compensation expense at June 30, 2022 was $9.0 million, all of which related to nonvested deferred shares which are expected to be recognized as expense over a weighted average period of 1.7 years. We recognized excess tax expense of $1.0 million, $1.8 million, and $0.2 million related to stock-based compensation vesting for the fiscal years ended June 30, 2022, 2021, and 2020,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Plan Information</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November 2020, our stockholders approved the Matrix Service Company 2020 Stock and Incentive Compensation Plan (the "2020 Plan"), which provides stock-based and cash-based incentives for officers, directors and other key employees. Stock options, restricted stock, restricted stock units, stock appreciation rights, performance shares and cash-based awards can be issued under this plan. Upon approval of the 2020 Plan, the 2018 Stock and Incentive Compensation Plan ("2018 Plan") was frozen with the exception of normal vesting and other activity associated with awards previously granted under the 2018 Plan. The 2018 Plan was preceded by the 2016 Stock Incentive Plan ("2016 Plan"), which was frozen upon approval of the 2018 Plan with the exception of normal vesting, forfeiture and other activity associated with awards previously granted under the 2016 Plan. Shares awarded under either the 2018 Plan or 2016 Plan that are subsequently forfeited or net settled for tax withholding purposes are returned to the treasury share pool and become available for grant under the 2020 Plan.</w:t>
      </w:r>
    </w:p>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Awards totaling 1,725,000 shares have been authorized under the 2020 Plan. There were 1,392,706 shares available for grant under the 2020 Plan as of June 30, 2022.</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72"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We did not award any new stock options in fiscal years 2022, 2021, or 2020. The 19,550 options outstanding as of June 30, 2021 were exercised in the second quarter of fiscal 2022 at a weighted average exercise price of $10.19 per share. There were no options outstanding at June 30, 2022. The total intrinsic value of stock options exercised were less than $0.1 million during fiscal 2022 and $0.1 million during fiscal 2021. No stock options were exercised in fiscal 2020.</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Nonvested Deferred Shares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We have issued nonvested deferred shares under the following types of arrangements:</w:t>
      </w:r>
    </w:p>
    <w:p>
      <w:pPr>
        <w:spacing w:after="0" w:line="250" w:lineRule="exact"/>
        <w:rPr>
          <w:sz w:val="20"/>
          <w:szCs w:val="20"/>
          <w:color w:val="auto"/>
        </w:rPr>
      </w:pPr>
    </w:p>
    <w:p>
      <w:pPr>
        <w:jc w:val="both"/>
        <w:ind w:left="640" w:hanging="320"/>
        <w:spacing w:after="0" w:line="314" w:lineRule="auto"/>
        <w:tabs>
          <w:tab w:leader="none" w:pos="635" w:val="left"/>
        </w:tabs>
        <w:numPr>
          <w:ilvl w:val="0"/>
          <w:numId w:val="35"/>
        </w:numPr>
        <w:rPr>
          <w:rFonts w:ascii="Arial" w:cs="Arial" w:eastAsia="Arial" w:hAnsi="Arial"/>
          <w:sz w:val="15"/>
          <w:szCs w:val="15"/>
          <w:color w:val="auto"/>
        </w:rPr>
      </w:pPr>
      <w:r>
        <w:rPr>
          <w:rFonts w:ascii="Arial" w:cs="Arial" w:eastAsia="Arial" w:hAnsi="Arial"/>
          <w:sz w:val="15"/>
          <w:szCs w:val="15"/>
          <w:color w:val="auto"/>
        </w:rPr>
        <w:t>Time-based awards—Employee awards generally vest in four equal annual installments beginning one year after the grant date. Beginning in fiscal 2019, the award agreements contain a provision that accelerates the vesting for retirement eligible participants and participants that become retirement eligible during the vesting period and who elect to retire more than one year after the date of the award. The award is forfeited if retirement occurs before the first anniversary of the award. Settlement still occurs on the normal vesting schedules. Director awards vest one year after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40" w:hanging="320"/>
        <w:spacing w:after="0" w:line="309" w:lineRule="auto"/>
        <w:tabs>
          <w:tab w:leader="none" w:pos="635" w:val="left"/>
        </w:tabs>
        <w:numPr>
          <w:ilvl w:val="0"/>
          <w:numId w:val="36"/>
        </w:numPr>
        <w:rPr>
          <w:rFonts w:ascii="Arial" w:cs="Arial" w:eastAsia="Arial" w:hAnsi="Arial"/>
          <w:sz w:val="15"/>
          <w:szCs w:val="15"/>
          <w:color w:val="auto"/>
        </w:rPr>
      </w:pPr>
      <w:r>
        <w:rPr>
          <w:rFonts w:ascii="Arial" w:cs="Arial" w:eastAsia="Arial" w:hAnsi="Arial"/>
          <w:sz w:val="15"/>
          <w:szCs w:val="15"/>
          <w:color w:val="auto"/>
        </w:rPr>
        <w:t>Market-based awards—These awards are in the form of performance units which vest 3 years after the grant date only if our common stock achieves certain levels of total shareholder return when compared to the total shareholder return of a peer group of companies as selected by the Compensation Committee of the Board of Directors. The payout can range from zero to 200% of the original award depending on the Company's relative total shareholder return during the performance period. These awards are settled in stock. As of June 30, 2022, there were approximately 163,000, 340,000, and 389,000 performance units that are scheduled to vest in fiscal 2023, fiscal 2024, and fiscal 2025, respectively, assuming target performance.</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awards under the 2020 Plan vest upon the death or disability of the participant or upon a change of control of the Company, provided that the successor company fails to assume or replace the awards in connection with that change of control event. If the successor company does assume the awards, then vesting of the awards will be accelerated in the event of an involuntary termination or other material adverse event that occurs in connection with or following the change of control. All awards prior to the 2020 Plan vest upon the death or disability of the participant or upon a change of control of the Company.</w:t>
      </w:r>
    </w:p>
    <w:p>
      <w:pPr>
        <w:spacing w:after="0" w:line="107"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grant date fair value of the time-based awards is determined by the market value of our common stock on the grant date. The grant date fair value of the market-based awards is calculated using a Monte Carlo model. For the fiscal 2022 grant, the model estimated the fair value of the award based on approximately 100,000 simulations of the future prices of our common stock compared to the future prices of the common stock of its peer companies based on historical volatilities. The model also took into account the expected dividends over the performance period of those peer companies which pay cash dividends.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Nonvested deferred share activity for the fiscal year ended June 30, 2022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41"/>
        </w:trPr>
        <w:tc>
          <w:tcPr>
            <w:tcW w:w="7160" w:type="dxa"/>
            <w:vAlign w:val="bottom"/>
          </w:tcPr>
          <w:p>
            <w:pPr>
              <w:spacing w:after="0"/>
              <w:rPr>
                <w:sz w:val="12"/>
                <w:szCs w:val="12"/>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5"/>
              </w:rPr>
              <w:t>Shares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right="79"/>
              <w:spacing w:after="0" w:line="141" w:lineRule="exact"/>
              <w:rPr>
                <w:sz w:val="20"/>
                <w:szCs w:val="20"/>
                <w:color w:val="auto"/>
              </w:rPr>
            </w:pPr>
            <w:r>
              <w:rPr>
                <w:rFonts w:ascii="Arial" w:cs="Arial" w:eastAsia="Arial" w:hAnsi="Arial"/>
                <w:sz w:val="14"/>
                <w:szCs w:val="14"/>
                <w:b w:val="1"/>
                <w:bCs w:val="1"/>
                <w:color w:val="auto"/>
                <w:w w:val="91"/>
              </w:rPr>
              <w:t>Date Fair Value per</w:t>
            </w:r>
          </w:p>
        </w:tc>
        <w:tc>
          <w:tcPr>
            <w:tcW w:w="0" w:type="dxa"/>
            <w:vAlign w:val="bottom"/>
          </w:tcPr>
          <w:p>
            <w:pPr>
              <w:spacing w:after="0"/>
              <w:rPr>
                <w:sz w:val="1"/>
                <w:szCs w:val="1"/>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shares at June 30, 2021</w:t>
            </w:r>
          </w:p>
        </w:tc>
        <w:tc>
          <w:tcPr>
            <w:tcW w:w="1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1,280,707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0" w:type="dxa"/>
            <w:vAlign w:val="bottom"/>
          </w:tcPr>
          <w:p>
            <w:pPr>
              <w:spacing w:after="0"/>
              <w:rPr>
                <w:sz w:val="1"/>
                <w:szCs w:val="1"/>
                <w:color w:val="auto"/>
              </w:rPr>
            </w:pPr>
          </w:p>
        </w:tc>
      </w:tr>
      <w:tr>
        <w:trPr>
          <w:trHeight w:val="223"/>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Shares granted</w:t>
            </w:r>
          </w:p>
        </w:tc>
        <w:tc>
          <w:tcPr>
            <w:tcW w:w="780" w:type="dxa"/>
            <w:vAlign w:val="bottom"/>
          </w:tcPr>
          <w:p>
            <w:pPr>
              <w:jc w:val="right"/>
              <w:spacing w:after="0"/>
              <w:rPr>
                <w:sz w:val="20"/>
                <w:szCs w:val="20"/>
                <w:color w:val="auto"/>
              </w:rPr>
            </w:pPr>
            <w:r>
              <w:rPr>
                <w:rFonts w:ascii="Arial" w:cs="Arial" w:eastAsia="Arial" w:hAnsi="Arial"/>
                <w:sz w:val="17"/>
                <w:szCs w:val="17"/>
                <w:color w:val="auto"/>
              </w:rPr>
              <w:t>696,227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14.13</w:t>
            </w:r>
          </w:p>
        </w:tc>
        <w:tc>
          <w:tcPr>
            <w:tcW w:w="0" w:type="dxa"/>
            <w:vAlign w:val="bottom"/>
          </w:tcPr>
          <w:p>
            <w:pPr>
              <w:spacing w:after="0"/>
              <w:rPr>
                <w:sz w:val="1"/>
                <w:szCs w:val="1"/>
                <w:color w:val="auto"/>
              </w:rPr>
            </w:pPr>
          </w:p>
        </w:tc>
      </w:tr>
      <w:tr>
        <w:trPr>
          <w:trHeight w:val="223"/>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Shares vested and released</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(268,403)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0" w:type="dxa"/>
            <w:vAlign w:val="bottom"/>
          </w:tcPr>
          <w:p>
            <w:pPr>
              <w:spacing w:after="0"/>
              <w:rPr>
                <w:sz w:val="1"/>
                <w:szCs w:val="1"/>
                <w:color w:val="auto"/>
              </w:rPr>
            </w:pPr>
          </w:p>
        </w:tc>
      </w:tr>
      <w:tr>
        <w:trPr>
          <w:trHeight w:val="223"/>
        </w:trPr>
        <w:tc>
          <w:tcPr>
            <w:tcW w:w="8360" w:type="dxa"/>
            <w:vAlign w:val="bottom"/>
            <w:gridSpan w:val="2"/>
          </w:tcPr>
          <w:p>
            <w:pPr>
              <w:ind w:left="20"/>
              <w:spacing w:after="0"/>
              <w:rPr>
                <w:sz w:val="20"/>
                <w:szCs w:val="20"/>
                <w:color w:val="auto"/>
              </w:rPr>
            </w:pPr>
            <w:r>
              <w:rPr>
                <w:rFonts w:ascii="Arial" w:cs="Arial" w:eastAsia="Arial" w:hAnsi="Arial"/>
                <w:sz w:val="17"/>
                <w:szCs w:val="17"/>
                <w:color w:val="auto"/>
              </w:rPr>
              <w:t>Shares canceled</w:t>
            </w:r>
          </w:p>
        </w:tc>
        <w:tc>
          <w:tcPr>
            <w:tcW w:w="780" w:type="dxa"/>
            <w:vAlign w:val="bottom"/>
          </w:tcPr>
          <w:p>
            <w:pPr>
              <w:jc w:val="right"/>
              <w:spacing w:after="0"/>
              <w:rPr>
                <w:sz w:val="20"/>
                <w:szCs w:val="20"/>
                <w:color w:val="auto"/>
              </w:rPr>
            </w:pPr>
            <w:r>
              <w:rPr>
                <w:rFonts w:ascii="Arial" w:cs="Arial" w:eastAsia="Arial" w:hAnsi="Arial"/>
                <w:sz w:val="17"/>
                <w:szCs w:val="17"/>
                <w:color w:val="auto"/>
                <w:w w:val="98"/>
              </w:rPr>
              <w:t>(242,743)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41"/>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shares at June 30, 2022</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1,465,788</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were 665,597 and 490,322 deferred shares granted in fiscal 2021 and 2020 with average grant date fair values of $10.60 and $21.79 per share, respectively. There were 515,218 and 542,279 deferred shares that vested and were released in fiscal 2021 and 2020 with weighted average fair values of $16.99 and $19.43 per share, respectively. There were 119,904 deferred shares cancelled in fiscal 2021 with an average grant date fair value of $20.67. No deferred shares were cancelled in fiscal 2020.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Cash-Settled Restricted Share Units</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granted 231,219 and 238,848 cash-settled restricted share units during fiscal years 2022 and 2021, respectively; with weighted average fair values of $2.6 million and $2.3 million, respectively. No cash-settled restricted share units were granted in fiscal year 2020. There were 53,333 shares vested and released in fiscal 2022 with a weighted average fair value of $0.5 million. There were no cash-settled restricted shares vested or released in fiscal 2021 or 2020. There were 25,355 shares cancelled in fiscal 2022 with a weighted average fair value of $0.3 million. There were no cash-settled restricted shares cancelled in fiscal 2021 or 2020.</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grant date fair value of these awards is based on the price of our common stock and the number of shares awarded on the date of grant. The award must be settled in cash and is accounted for as a liability-type award. The expense is recognized over the requisite service period with remeasurement at the end of each reporting period at fair value until settlement. The requisite service period is based on the vesting provisions of the awards which generally occur in four equal annual installments beginning one year after the grant date. These awards contain the same retirement provisions described for time-based awards in the nonvested deferred shares section above.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$0.6 million and $1.0 million of expense in fiscal years 2022 and 2021, respectively, for cash-settled restricted share units, which was included in selling, general and administrative expenses and cost of revenue in the Consolidated Statements of Income. As of June 30, 2022, the liability for cash-settled restricted share units was $0.9 million and is included in accrued wages and benefits in the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11—Earnings per Common Share</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of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computation of basic and diluted EPS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Fiscal Years Ended</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28"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520" w:type="dxa"/>
            <w:vAlign w:val="bottom"/>
            <w:gridSpan w:val="2"/>
          </w:tcPr>
          <w:p>
            <w:pPr>
              <w:jc w:val="center"/>
              <w:ind w:right="300"/>
              <w:spacing w:after="0" w:line="128" w:lineRule="exact"/>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1"/>
                <w:szCs w:val="11"/>
                <w:color w:val="auto"/>
              </w:rPr>
            </w:pPr>
          </w:p>
        </w:tc>
        <w:tc>
          <w:tcPr>
            <w:tcW w:w="1200" w:type="dxa"/>
            <w:vAlign w:val="bottom"/>
          </w:tcPr>
          <w:p>
            <w:pPr>
              <w:jc w:val="right"/>
              <w:ind w:right="457"/>
              <w:spacing w:after="0" w:line="128"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gridSpan w:val="6"/>
          </w:tcPr>
          <w:p>
            <w:pPr>
              <w:jc w:val="center"/>
              <w:ind w:left="798"/>
              <w:spacing w:after="0"/>
              <w:rPr>
                <w:sz w:val="20"/>
                <w:szCs w:val="20"/>
                <w:color w:val="auto"/>
              </w:rPr>
            </w:pPr>
            <w:r>
              <w:rPr>
                <w:rFonts w:ascii="Arial" w:cs="Arial" w:eastAsia="Arial" w:hAnsi="Arial"/>
                <w:sz w:val="14"/>
                <w:szCs w:val="14"/>
                <w:b w:val="1"/>
                <w:bCs w:val="1"/>
                <w:color w:val="auto"/>
                <w:w w:val="88"/>
              </w:rPr>
              <w:t>(In thousands, except per share data)</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EPS: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(31,224)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(33,074)</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26,451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Basic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8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Diluted EPS:</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7"/>
                <w:szCs w:val="17"/>
                <w:color w:val="auto"/>
              </w:rPr>
              <w:t>Weighted average shares outstanding—basic</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26,451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26,621</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weighted average shares</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8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12—Employee Benefit Plans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Contribution Plans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defined contribution savings plans for all eligible employees meeting length of service requirements. Under the primary plan, participants may contribute an amount up to 25% of pretax annual compensation subject to certain limitations. We match 100% of the first 3% of employee contributions and 50% of the next 2% of employee contributions. Our matching contributions vest immediately.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Our matching contributions were $5.3 million, $5.4 million, and $6.2 million in the fiscal years ended June 30,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Multiemployer Pension Plans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contribute to a number of multiemployer defined benefit pension plans in the U.S. and Canada under the terms of collective-bargaining agreements that cover our union-represented employees, who are represented by more than 100 local unions. The related collective-bargaining agreements between those organizations and us, which specify the rate at which we must contribute to the multi-employer defined pension plan, expire at different times between 2022 and 2025. Benefits under these plans are generally based on compensation levels and years of service.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For us, the financial risks of participating in multiemployer plans are different from single-employer plans in the following respects:</w:t>
      </w:r>
    </w:p>
    <w:p>
      <w:pPr>
        <w:spacing w:after="0" w:line="172" w:lineRule="exact"/>
        <w:rPr>
          <w:sz w:val="20"/>
          <w:szCs w:val="20"/>
          <w:color w:val="auto"/>
        </w:rPr>
      </w:pPr>
    </w:p>
    <w:p>
      <w:pPr>
        <w:ind w:left="620" w:hanging="300"/>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83" w:lineRule="exact"/>
        <w:rPr>
          <w:rFonts w:ascii="Arial" w:cs="Arial" w:eastAsia="Arial" w:hAnsi="Arial"/>
          <w:sz w:val="16"/>
          <w:szCs w:val="16"/>
          <w:color w:val="auto"/>
        </w:rPr>
      </w:pPr>
    </w:p>
    <w:p>
      <w:pPr>
        <w:ind w:left="640" w:right="440" w:hanging="320"/>
        <w:spacing w:after="0" w:line="289"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 participating employer discontinues contributions to a plan, the unfunded obligations of the plan may be borne by the remaining participating employers.</w:t>
      </w:r>
    </w:p>
    <w:p>
      <w:pPr>
        <w:spacing w:after="0" w:line="106" w:lineRule="exact"/>
        <w:rPr>
          <w:rFonts w:ascii="Arial" w:cs="Arial" w:eastAsia="Arial" w:hAnsi="Arial"/>
          <w:sz w:val="17"/>
          <w:szCs w:val="17"/>
          <w:color w:val="auto"/>
        </w:rPr>
      </w:pPr>
    </w:p>
    <w:p>
      <w:pPr>
        <w:ind w:left="640" w:right="200" w:hanging="320"/>
        <w:spacing w:after="0" w:line="289"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 participating employer chooses to stop participating in a plan, a withdrawal liability may be created based on the unfunded vested benefits for all employees in the plan.</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participation in significant plans for the fiscal year ended June 30, 2022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spacing w:after="0"/>
        <w:rPr>
          <w:sz w:val="20"/>
          <w:szCs w:val="20"/>
          <w:color w:val="auto"/>
        </w:rPr>
      </w:pPr>
      <w:r>
        <w:rPr>
          <w:rFonts w:ascii="Arial" w:cs="Arial" w:eastAsia="Arial" w:hAnsi="Arial"/>
          <w:sz w:val="12"/>
          <w:szCs w:val="12"/>
          <w:b w:val="1"/>
          <w:bCs w:val="1"/>
          <w:color w:val="auto"/>
        </w:rPr>
        <w:t>Pension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18402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40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EIN/Pension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Plan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17780</wp:posOffset>
            </wp:positionV>
            <wp:extent cx="7410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140" w:type="dxa"/>
            <w:vAlign w:val="bottom"/>
          </w:tcPr>
          <w:p>
            <w:pPr>
              <w:jc w:val="center"/>
              <w:ind w:right="570"/>
              <w:spacing w:after="0"/>
              <w:rPr>
                <w:sz w:val="20"/>
                <w:szCs w:val="20"/>
                <w:color w:val="auto"/>
              </w:rPr>
            </w:pPr>
            <w:r>
              <w:rPr>
                <w:rFonts w:ascii="Arial" w:cs="Arial" w:eastAsia="Arial" w:hAnsi="Arial"/>
                <w:sz w:val="14"/>
                <w:szCs w:val="14"/>
                <w:b w:val="1"/>
                <w:bCs w:val="1"/>
                <w:color w:val="auto"/>
                <w:w w:val="84"/>
              </w:rPr>
              <w:t>Pension</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FIP/RP</w:t>
            </w:r>
          </w:p>
        </w:tc>
        <w:tc>
          <w:tcPr>
            <w:tcW w:w="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780" w:type="dxa"/>
            <w:vAlign w:val="bottom"/>
            <w:gridSpan w:val="2"/>
            <w:vMerge w:val="restart"/>
          </w:tcPr>
          <w:p>
            <w:pPr>
              <w:jc w:val="center"/>
              <w:spacing w:after="0" w:line="141" w:lineRule="exact"/>
              <w:rPr>
                <w:sz w:val="20"/>
                <w:szCs w:val="20"/>
                <w:color w:val="auto"/>
              </w:rPr>
            </w:pPr>
            <w:r>
              <w:rPr>
                <w:rFonts w:ascii="Arial" w:cs="Arial" w:eastAsia="Arial" w:hAnsi="Arial"/>
                <w:sz w:val="14"/>
                <w:szCs w:val="14"/>
                <w:b w:val="1"/>
                <w:bCs w:val="1"/>
                <w:color w:val="auto"/>
                <w:w w:val="89"/>
              </w:rPr>
              <w:t>Protection Act</w:t>
            </w:r>
          </w:p>
        </w:tc>
        <w:tc>
          <w:tcPr>
            <w:tcW w:w="14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52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91"/>
              </w:rPr>
              <w:t>Company Contributions</w:t>
            </w: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780" w:type="dxa"/>
            <w:vAlign w:val="bottom"/>
            <w:gridSpan w:val="2"/>
            <w:vMerge w:val="continue"/>
          </w:tcPr>
          <w:p>
            <w:pPr>
              <w:spacing w:after="0"/>
              <w:rPr>
                <w:sz w:val="6"/>
                <w:szCs w:val="6"/>
                <w:color w:val="auto"/>
              </w:rPr>
            </w:pPr>
          </w:p>
        </w:tc>
        <w:tc>
          <w:tcPr>
            <w:tcW w:w="14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4"/>
              </w:rPr>
              <w:t>Status</w:t>
            </w:r>
          </w:p>
        </w:tc>
        <w:tc>
          <w:tcPr>
            <w:tcW w:w="6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Zone Status</w:t>
            </w:r>
          </w:p>
        </w:tc>
        <w:tc>
          <w:tcPr>
            <w:tcW w:w="14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780" w:type="dxa"/>
            <w:vAlign w:val="bottom"/>
            <w:tcBorders>
              <w:bottom w:val="single" w:sz="8" w:color="auto"/>
            </w:tcBorders>
            <w:gridSpan w:val="2"/>
            <w:vMerge w:val="continue"/>
          </w:tcPr>
          <w:p>
            <w:pPr>
              <w:spacing w:after="0"/>
              <w:rPr>
                <w:sz w:val="11"/>
                <w:szCs w:val="11"/>
                <w:color w:val="auto"/>
              </w:rPr>
            </w:pPr>
          </w:p>
        </w:tc>
        <w:tc>
          <w:tcPr>
            <w:tcW w:w="14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7"/>
              </w:rPr>
              <w:t>Pending or</w:t>
            </w:r>
          </w:p>
        </w:tc>
        <w:tc>
          <w:tcPr>
            <w:tcW w:w="6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Pr>
          <w:p>
            <w:pPr>
              <w:jc w:val="center"/>
              <w:ind w:left="210"/>
              <w:spacing w:after="0" w:line="125" w:lineRule="exact"/>
              <w:rPr>
                <w:sz w:val="20"/>
                <w:szCs w:val="20"/>
                <w:color w:val="auto"/>
              </w:rPr>
            </w:pPr>
            <w:r>
              <w:rPr>
                <w:rFonts w:ascii="Arial" w:cs="Arial" w:eastAsia="Arial" w:hAnsi="Arial"/>
                <w:sz w:val="14"/>
                <w:szCs w:val="14"/>
                <w:b w:val="1"/>
                <w:bCs w:val="1"/>
                <w:color w:val="auto"/>
                <w:w w:val="89"/>
              </w:rPr>
              <w:t>Surcharge</w:t>
            </w:r>
          </w:p>
        </w:tc>
        <w:tc>
          <w:tcPr>
            <w:tcW w:w="0" w:type="dxa"/>
            <w:vAlign w:val="bottom"/>
          </w:tcPr>
          <w:p>
            <w:pPr>
              <w:spacing w:after="0"/>
              <w:rPr>
                <w:sz w:val="1"/>
                <w:szCs w:val="1"/>
                <w:color w:val="auto"/>
              </w:rPr>
            </w:pPr>
          </w:p>
        </w:tc>
      </w:tr>
      <w:tr>
        <w:trPr>
          <w:trHeight w:val="179"/>
        </w:trPr>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140" w:type="dxa"/>
            <w:vAlign w:val="bottom"/>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Implemented</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580" w:type="dxa"/>
            <w:vAlign w:val="bottom"/>
          </w:tcPr>
          <w:p>
            <w:pPr>
              <w:jc w:val="right"/>
              <w:ind w:right="210"/>
              <w:spacing w:after="0"/>
              <w:rPr>
                <w:sz w:val="20"/>
                <w:szCs w:val="20"/>
                <w:color w:val="auto"/>
              </w:rPr>
            </w:pPr>
            <w:r>
              <w:rPr>
                <w:rFonts w:ascii="Arial" w:cs="Arial" w:eastAsia="Arial" w:hAnsi="Arial"/>
                <w:sz w:val="14"/>
                <w:szCs w:val="14"/>
                <w:b w:val="1"/>
                <w:bCs w:val="1"/>
                <w:color w:val="auto"/>
                <w:w w:val="89"/>
              </w:rPr>
              <w:t>2020</w:t>
            </w:r>
          </w:p>
        </w:tc>
        <w:tc>
          <w:tcPr>
            <w:tcW w:w="900" w:type="dxa"/>
            <w:vAlign w:val="bottom"/>
          </w:tcPr>
          <w:p>
            <w:pPr>
              <w:jc w:val="center"/>
              <w:ind w:left="230"/>
              <w:spacing w:after="0"/>
              <w:rPr>
                <w:sz w:val="20"/>
                <w:szCs w:val="20"/>
                <w:color w:val="auto"/>
              </w:rPr>
            </w:pPr>
            <w:r>
              <w:rPr>
                <w:rFonts w:ascii="Arial" w:cs="Arial" w:eastAsia="Arial" w:hAnsi="Arial"/>
                <w:sz w:val="14"/>
                <w:szCs w:val="14"/>
                <w:b w:val="1"/>
                <w:bCs w:val="1"/>
                <w:color w:val="auto"/>
                <w:w w:val="90"/>
              </w:rPr>
              <w:t>Imposed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4215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21505"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4"/>
          <w:szCs w:val="14"/>
          <w:b w:val="1"/>
          <w:bCs w:val="1"/>
          <w:color w:val="auto"/>
        </w:rPr>
        <w:t>(In thousands)</w:t>
      </w:r>
    </w:p>
    <w:p>
      <w:pPr>
        <w:spacing w:after="0" w:line="44" w:lineRule="exact"/>
        <w:rPr>
          <w:sz w:val="20"/>
          <w:szCs w:val="20"/>
          <w:color w:val="auto"/>
        </w:rPr>
      </w:pPr>
    </w:p>
    <w:p>
      <w:pPr>
        <w:sectPr>
          <w:pgSz w:w="11900" w:h="16838" w:orient="portrait"/>
          <w:cols w:equalWidth="0" w:num="3">
            <w:col w:w="2460" w:space="720"/>
            <w:col w:w="820" w:space="280"/>
            <w:col w:w="69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Boilermaker-Blacksmith National Pension Trust</w:t>
      </w:r>
    </w:p>
    <w:p>
      <w:pPr>
        <w:spacing w:after="0" w:line="32" w:lineRule="exact"/>
        <w:rPr>
          <w:sz w:val="20"/>
          <w:szCs w:val="20"/>
          <w:color w:val="auto"/>
        </w:rPr>
      </w:pPr>
    </w:p>
    <w:p>
      <w:pPr>
        <w:ind w:left="20"/>
        <w:spacing w:after="0" w:line="237" w:lineRule="auto"/>
        <w:rPr>
          <w:sz w:val="20"/>
          <w:szCs w:val="20"/>
          <w:color w:val="auto"/>
        </w:rPr>
      </w:pPr>
      <w:r>
        <w:rPr>
          <w:rFonts w:ascii="Arial" w:cs="Arial" w:eastAsia="Arial" w:hAnsi="Arial"/>
          <w:sz w:val="12"/>
          <w:szCs w:val="12"/>
          <w:color w:val="auto"/>
        </w:rPr>
        <w:t>National Electrical Benefit Fund, IBEW locals 71, 126, 488, and 1319</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Joint Pension Fund Local Union 164 IBEW</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Joint Pension Fund of Local Union No 102 IBEW</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IBEW Local 456 Pension Plan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Local 351 IBEW Pension Plan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Steamfitters Local Union No 420 Pension Plan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IBEW Local 654 Pension Plan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1"/>
          <w:szCs w:val="11"/>
          <w:color w:val="auto"/>
        </w:rPr>
        <w:t>Ohio Carpenters' Pension Fund, Locals 1090 and 351</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Iron Workers Pension Plan, Local 55</w:t>
      </w:r>
    </w:p>
    <w:p>
      <w:pPr>
        <w:spacing w:after="0" w:line="72" w:lineRule="exact"/>
        <w:rPr>
          <w:sz w:val="20"/>
          <w:szCs w:val="20"/>
          <w:color w:val="auto"/>
        </w:rPr>
      </w:pPr>
    </w:p>
    <w:p>
      <w:pPr>
        <w:ind w:left="20" w:right="100"/>
        <w:spacing w:after="0" w:line="237" w:lineRule="auto"/>
        <w:rPr>
          <w:sz w:val="20"/>
          <w:szCs w:val="20"/>
          <w:color w:val="auto"/>
        </w:rPr>
      </w:pPr>
      <w:r>
        <w:rPr>
          <w:rFonts w:ascii="Arial" w:cs="Arial" w:eastAsia="Arial" w:hAnsi="Arial"/>
          <w:sz w:val="12"/>
          <w:szCs w:val="12"/>
          <w:color w:val="auto"/>
        </w:rPr>
        <w:t>Northwestern Ohio Plumbers and Pipefitters Pension, Local 50</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Indiana Laborers Pension Fund</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1"/>
          <w:szCs w:val="11"/>
          <w:color w:val="auto"/>
        </w:rPr>
        <w:t>Iron Workers Mid-America Pension Plan, Local 395</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2"/>
          <w:szCs w:val="12"/>
          <w:color w:val="auto"/>
        </w:rPr>
        <w:t>Pipefitters Retirement Fund, Local 597</w:t>
      </w:r>
    </w:p>
    <w:p>
      <w:pPr>
        <w:spacing w:after="0" w:line="72" w:lineRule="exact"/>
        <w:rPr>
          <w:sz w:val="20"/>
          <w:szCs w:val="20"/>
          <w:color w:val="auto"/>
        </w:rPr>
      </w:pPr>
    </w:p>
    <w:p>
      <w:pPr>
        <w:ind w:left="20" w:right="140"/>
        <w:spacing w:after="0" w:line="237" w:lineRule="auto"/>
        <w:rPr>
          <w:sz w:val="20"/>
          <w:szCs w:val="20"/>
          <w:color w:val="auto"/>
        </w:rPr>
      </w:pPr>
      <w:r>
        <w:rPr>
          <w:rFonts w:ascii="Arial" w:cs="Arial" w:eastAsia="Arial" w:hAnsi="Arial"/>
          <w:sz w:val="12"/>
          <w:szCs w:val="12"/>
          <w:color w:val="auto"/>
        </w:rPr>
        <w:t>Iron Workers Pension Plan of Western Pennsylvania, Local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518795</wp:posOffset>
            </wp:positionV>
            <wp:extent cx="799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48-6168020/001</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53-0181657/001</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22-6031199/001</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22-1615726/001</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22-6238995/001</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22-3417366/001</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23-2004424/001</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23-6538183/001</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34-6574360/001</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34-6682351/001</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34-6502487/001</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35-6027150/001</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36-6488227/001</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auto"/>
        </w:rPr>
        <w:t>62-6105084/001</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color w:val="auto"/>
        </w:rPr>
        <w:t>25-1283169/001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55"/>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96"/>
              </w:rPr>
              <w:t>Yellow</w:t>
            </w:r>
          </w:p>
        </w:tc>
        <w:tc>
          <w:tcPr>
            <w:tcW w:w="600" w:type="dxa"/>
            <w:vAlign w:val="bottom"/>
          </w:tcPr>
          <w:p>
            <w:pPr>
              <w:jc w:val="center"/>
              <w:ind w:left="39"/>
              <w:spacing w:after="0"/>
              <w:rPr>
                <w:sz w:val="20"/>
                <w:szCs w:val="20"/>
                <w:color w:val="auto"/>
              </w:rPr>
            </w:pPr>
            <w:r>
              <w:rPr>
                <w:rFonts w:ascii="Arial" w:cs="Arial" w:eastAsia="Arial" w:hAnsi="Arial"/>
                <w:sz w:val="12"/>
                <w:szCs w:val="12"/>
                <w:color w:val="auto"/>
                <w:w w:val="96"/>
              </w:rPr>
              <w:t>Yellow</w:t>
            </w:r>
          </w:p>
        </w:tc>
        <w:tc>
          <w:tcPr>
            <w:tcW w:w="0" w:type="dxa"/>
            <w:vAlign w:val="bottom"/>
          </w:tcPr>
          <w:p>
            <w:pPr>
              <w:spacing w:after="0"/>
              <w:rPr>
                <w:sz w:val="1"/>
                <w:szCs w:val="1"/>
                <w:color w:val="auto"/>
              </w:rPr>
            </w:pPr>
          </w:p>
        </w:tc>
      </w:tr>
      <w:tr>
        <w:trPr>
          <w:trHeight w:val="161"/>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92"/>
              </w:rPr>
              <w:t>Described below</w:t>
            </w:r>
          </w:p>
        </w:tc>
        <w:tc>
          <w:tcPr>
            <w:tcW w:w="600" w:type="dxa"/>
            <w:vAlign w:val="bottom"/>
            <w:vMerge w:val="restart"/>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99"/>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92"/>
              </w:rPr>
              <w:t>Described below</w:t>
            </w:r>
          </w:p>
        </w:tc>
        <w:tc>
          <w:tcPr>
            <w:tcW w:w="600" w:type="dxa"/>
            <w:vAlign w:val="bottom"/>
          </w:tcPr>
          <w:p>
            <w:pPr>
              <w:jc w:val="center"/>
              <w:ind w:left="39"/>
              <w:spacing w:after="0"/>
              <w:rPr>
                <w:sz w:val="20"/>
                <w:szCs w:val="20"/>
                <w:color w:val="auto"/>
              </w:rPr>
            </w:pPr>
            <w:r>
              <w:rPr>
                <w:rFonts w:ascii="Arial" w:cs="Arial" w:eastAsia="Arial" w:hAnsi="Arial"/>
                <w:sz w:val="12"/>
                <w:szCs w:val="12"/>
                <w:color w:val="auto"/>
                <w:w w:val="92"/>
              </w:rPr>
              <w:t>Described</w:t>
            </w:r>
          </w:p>
        </w:tc>
        <w:tc>
          <w:tcPr>
            <w:tcW w:w="0" w:type="dxa"/>
            <w:vAlign w:val="bottom"/>
          </w:tcPr>
          <w:p>
            <w:pPr>
              <w:spacing w:after="0"/>
              <w:rPr>
                <w:sz w:val="1"/>
                <w:szCs w:val="1"/>
                <w:color w:val="auto"/>
              </w:rPr>
            </w:pPr>
          </w:p>
        </w:tc>
      </w:tr>
      <w:tr>
        <w:trPr>
          <w:trHeight w:val="156"/>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tcPr>
          <w:p>
            <w:pPr>
              <w:jc w:val="center"/>
              <w:ind w:left="39"/>
              <w:spacing w:after="0" w:line="156" w:lineRule="exact"/>
              <w:rPr>
                <w:sz w:val="20"/>
                <w:szCs w:val="20"/>
                <w:color w:val="auto"/>
              </w:rPr>
            </w:pPr>
            <w:r>
              <w:rPr>
                <w:rFonts w:ascii="Arial" w:cs="Arial" w:eastAsia="Arial" w:hAnsi="Arial"/>
                <w:sz w:val="12"/>
                <w:szCs w:val="12"/>
                <w:color w:val="auto"/>
                <w:w w:val="89"/>
              </w:rPr>
              <w:t xml:space="preserve">below </w:t>
            </w:r>
            <w:r>
              <w:rPr>
                <w:rFonts w:ascii="Arial" w:cs="Arial" w:eastAsia="Arial" w:hAnsi="Arial"/>
                <w:sz w:val="15"/>
                <w:szCs w:val="15"/>
                <w:color w:val="auto"/>
                <w:w w:val="89"/>
                <w:vertAlign w:val="superscript"/>
              </w:rPr>
              <w:t>(1)</w:t>
            </w:r>
          </w:p>
        </w:tc>
        <w:tc>
          <w:tcPr>
            <w:tcW w:w="0" w:type="dxa"/>
            <w:vAlign w:val="bottom"/>
          </w:tcPr>
          <w:p>
            <w:pPr>
              <w:spacing w:after="0"/>
              <w:rPr>
                <w:sz w:val="1"/>
                <w:szCs w:val="1"/>
                <w:color w:val="auto"/>
              </w:rPr>
            </w:pPr>
          </w:p>
        </w:tc>
      </w:tr>
      <w:tr>
        <w:trPr>
          <w:trHeight w:val="119"/>
        </w:trPr>
        <w:tc>
          <w:tcPr>
            <w:tcW w:w="940" w:type="dxa"/>
            <w:vAlign w:val="bottom"/>
          </w:tcPr>
          <w:p>
            <w:pPr>
              <w:jc w:val="center"/>
              <w:ind w:right="67"/>
              <w:spacing w:after="0" w:line="119" w:lineRule="exact"/>
              <w:rPr>
                <w:sz w:val="20"/>
                <w:szCs w:val="20"/>
                <w:color w:val="auto"/>
              </w:rPr>
            </w:pPr>
            <w:r>
              <w:rPr>
                <w:rFonts w:ascii="Arial" w:cs="Arial" w:eastAsia="Arial" w:hAnsi="Arial"/>
                <w:sz w:val="12"/>
                <w:szCs w:val="12"/>
                <w:color w:val="auto"/>
                <w:w w:val="92"/>
              </w:rPr>
              <w:t>Described below</w:t>
            </w:r>
          </w:p>
        </w:tc>
        <w:tc>
          <w:tcPr>
            <w:tcW w:w="600" w:type="dxa"/>
            <w:vAlign w:val="bottom"/>
            <w:vMerge w:val="restart"/>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99"/>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89"/>
              </w:rPr>
              <w:t>Green</w:t>
            </w:r>
          </w:p>
        </w:tc>
        <w:tc>
          <w:tcPr>
            <w:tcW w:w="600" w:type="dxa"/>
            <w:vAlign w:val="bottom"/>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170"/>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89"/>
              </w:rPr>
              <w:t>Green</w:t>
            </w:r>
          </w:p>
        </w:tc>
        <w:tc>
          <w:tcPr>
            <w:tcW w:w="600" w:type="dxa"/>
            <w:vAlign w:val="bottom"/>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134"/>
        </w:trPr>
        <w:tc>
          <w:tcPr>
            <w:tcW w:w="940" w:type="dxa"/>
            <w:vAlign w:val="bottom"/>
          </w:tcPr>
          <w:p>
            <w:pPr>
              <w:jc w:val="center"/>
              <w:ind w:right="67"/>
              <w:spacing w:after="0" w:line="134" w:lineRule="exact"/>
              <w:rPr>
                <w:sz w:val="20"/>
                <w:szCs w:val="20"/>
                <w:color w:val="auto"/>
              </w:rPr>
            </w:pPr>
            <w:r>
              <w:rPr>
                <w:rFonts w:ascii="Arial" w:cs="Arial" w:eastAsia="Arial" w:hAnsi="Arial"/>
                <w:sz w:val="12"/>
                <w:szCs w:val="12"/>
                <w:color w:val="auto"/>
                <w:w w:val="92"/>
              </w:rPr>
              <w:t>Described below</w:t>
            </w:r>
          </w:p>
        </w:tc>
        <w:tc>
          <w:tcPr>
            <w:tcW w:w="600" w:type="dxa"/>
            <w:vAlign w:val="bottom"/>
            <w:vMerge w:val="restart"/>
          </w:tcPr>
          <w:p>
            <w:pPr>
              <w:jc w:val="center"/>
              <w:ind w:left="39"/>
              <w:spacing w:after="0"/>
              <w:rPr>
                <w:sz w:val="20"/>
                <w:szCs w:val="20"/>
                <w:color w:val="auto"/>
              </w:rPr>
            </w:pPr>
            <w:r>
              <w:rPr>
                <w:rFonts w:ascii="Arial" w:cs="Arial" w:eastAsia="Arial" w:hAnsi="Arial"/>
                <w:sz w:val="12"/>
                <w:szCs w:val="12"/>
                <w:color w:val="auto"/>
                <w:w w:val="81"/>
              </w:rPr>
              <w:t>Red</w:t>
            </w:r>
          </w:p>
        </w:tc>
        <w:tc>
          <w:tcPr>
            <w:tcW w:w="0" w:type="dxa"/>
            <w:vAlign w:val="bottom"/>
          </w:tcPr>
          <w:p>
            <w:pPr>
              <w:spacing w:after="0"/>
              <w:rPr>
                <w:sz w:val="1"/>
                <w:szCs w:val="1"/>
                <w:color w:val="auto"/>
              </w:rPr>
            </w:pPr>
          </w:p>
        </w:tc>
      </w:tr>
      <w:tr>
        <w:trPr>
          <w:trHeight w:val="99"/>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89"/>
              </w:rPr>
              <w:t>Green</w:t>
            </w:r>
          </w:p>
        </w:tc>
        <w:tc>
          <w:tcPr>
            <w:tcW w:w="600" w:type="dxa"/>
            <w:vAlign w:val="bottom"/>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134"/>
        </w:trPr>
        <w:tc>
          <w:tcPr>
            <w:tcW w:w="940" w:type="dxa"/>
            <w:vAlign w:val="bottom"/>
          </w:tcPr>
          <w:p>
            <w:pPr>
              <w:jc w:val="center"/>
              <w:ind w:right="67"/>
              <w:spacing w:after="0" w:line="134" w:lineRule="exact"/>
              <w:rPr>
                <w:sz w:val="20"/>
                <w:szCs w:val="20"/>
                <w:color w:val="auto"/>
              </w:rPr>
            </w:pPr>
            <w:r>
              <w:rPr>
                <w:rFonts w:ascii="Arial" w:cs="Arial" w:eastAsia="Arial" w:hAnsi="Arial"/>
                <w:sz w:val="12"/>
                <w:szCs w:val="12"/>
                <w:color w:val="auto"/>
                <w:w w:val="92"/>
              </w:rPr>
              <w:t>Described below</w:t>
            </w:r>
          </w:p>
        </w:tc>
        <w:tc>
          <w:tcPr>
            <w:tcW w:w="600" w:type="dxa"/>
            <w:vAlign w:val="bottom"/>
            <w:vMerge w:val="restart"/>
          </w:tcPr>
          <w:p>
            <w:pPr>
              <w:jc w:val="center"/>
              <w:ind w:left="39"/>
              <w:spacing w:after="0"/>
              <w:rPr>
                <w:sz w:val="20"/>
                <w:szCs w:val="20"/>
                <w:color w:val="auto"/>
              </w:rPr>
            </w:pPr>
            <w:r>
              <w:rPr>
                <w:rFonts w:ascii="Arial" w:cs="Arial" w:eastAsia="Arial" w:hAnsi="Arial"/>
                <w:sz w:val="12"/>
                <w:szCs w:val="12"/>
                <w:color w:val="auto"/>
                <w:w w:val="81"/>
              </w:rPr>
              <w:t>Red</w:t>
            </w:r>
          </w:p>
        </w:tc>
        <w:tc>
          <w:tcPr>
            <w:tcW w:w="0" w:type="dxa"/>
            <w:vAlign w:val="bottom"/>
          </w:tcPr>
          <w:p>
            <w:pPr>
              <w:spacing w:after="0"/>
              <w:rPr>
                <w:sz w:val="1"/>
                <w:szCs w:val="1"/>
                <w:color w:val="auto"/>
              </w:rPr>
            </w:pPr>
          </w:p>
        </w:tc>
      </w:tr>
      <w:tr>
        <w:trPr>
          <w:trHeight w:val="101"/>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92"/>
              </w:rPr>
              <w:t>Described below</w:t>
            </w:r>
          </w:p>
        </w:tc>
        <w:tc>
          <w:tcPr>
            <w:tcW w:w="600" w:type="dxa"/>
            <w:vAlign w:val="bottom"/>
            <w:vMerge w:val="restart"/>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99"/>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92"/>
              </w:rPr>
              <w:t>Described below</w:t>
            </w:r>
          </w:p>
        </w:tc>
        <w:tc>
          <w:tcPr>
            <w:tcW w:w="600" w:type="dxa"/>
            <w:vAlign w:val="bottom"/>
            <w:vMerge w:val="restart"/>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99"/>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92"/>
              </w:rPr>
              <w:t>Described below</w:t>
            </w:r>
          </w:p>
        </w:tc>
        <w:tc>
          <w:tcPr>
            <w:tcW w:w="600" w:type="dxa"/>
            <w:vAlign w:val="bottom"/>
            <w:vMerge w:val="restart"/>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99"/>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89"/>
              </w:rPr>
              <w:t>Green</w:t>
            </w:r>
          </w:p>
        </w:tc>
        <w:tc>
          <w:tcPr>
            <w:tcW w:w="600" w:type="dxa"/>
            <w:vAlign w:val="bottom"/>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134"/>
        </w:trPr>
        <w:tc>
          <w:tcPr>
            <w:tcW w:w="940" w:type="dxa"/>
            <w:vAlign w:val="bottom"/>
          </w:tcPr>
          <w:p>
            <w:pPr>
              <w:jc w:val="center"/>
              <w:ind w:right="67"/>
              <w:spacing w:after="0" w:line="134" w:lineRule="exact"/>
              <w:rPr>
                <w:sz w:val="20"/>
                <w:szCs w:val="20"/>
                <w:color w:val="auto"/>
              </w:rPr>
            </w:pPr>
            <w:r>
              <w:rPr>
                <w:rFonts w:ascii="Arial" w:cs="Arial" w:eastAsia="Arial" w:hAnsi="Arial"/>
                <w:sz w:val="12"/>
                <w:szCs w:val="12"/>
                <w:color w:val="auto"/>
                <w:w w:val="92"/>
              </w:rPr>
              <w:t>Described below</w:t>
            </w:r>
          </w:p>
        </w:tc>
        <w:tc>
          <w:tcPr>
            <w:tcW w:w="600" w:type="dxa"/>
            <w:vAlign w:val="bottom"/>
            <w:vMerge w:val="restart"/>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r>
        <w:trPr>
          <w:trHeight w:val="99"/>
        </w:trPr>
        <w:tc>
          <w:tcPr>
            <w:tcW w:w="940" w:type="dxa"/>
            <w:vAlign w:val="bottom"/>
          </w:tcPr>
          <w:p>
            <w:pPr>
              <w:jc w:val="center"/>
              <w:ind w:right="67"/>
              <w:spacing w:after="0"/>
              <w:rPr>
                <w:sz w:val="20"/>
                <w:szCs w:val="20"/>
                <w:color w:val="auto"/>
              </w:rPr>
            </w:pPr>
            <w:r>
              <w:rPr>
                <w:rFonts w:ascii="Arial" w:cs="Arial" w:eastAsia="Arial" w:hAnsi="Arial"/>
                <w:sz w:val="8"/>
                <w:szCs w:val="8"/>
                <w:color w:val="auto"/>
              </w:rPr>
              <w:t>(1)</w:t>
            </w: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940" w:type="dxa"/>
            <w:vAlign w:val="bottom"/>
          </w:tcPr>
          <w:p>
            <w:pPr>
              <w:jc w:val="center"/>
              <w:ind w:right="67"/>
              <w:spacing w:after="0"/>
              <w:rPr>
                <w:sz w:val="20"/>
                <w:szCs w:val="20"/>
                <w:color w:val="auto"/>
              </w:rPr>
            </w:pPr>
            <w:r>
              <w:rPr>
                <w:rFonts w:ascii="Arial" w:cs="Arial" w:eastAsia="Arial" w:hAnsi="Arial"/>
                <w:sz w:val="12"/>
                <w:szCs w:val="12"/>
                <w:color w:val="auto"/>
                <w:w w:val="89"/>
              </w:rPr>
              <w:t>Green</w:t>
            </w:r>
          </w:p>
        </w:tc>
        <w:tc>
          <w:tcPr>
            <w:tcW w:w="600" w:type="dxa"/>
            <w:vAlign w:val="bottom"/>
          </w:tcPr>
          <w:p>
            <w:pPr>
              <w:jc w:val="center"/>
              <w:ind w:left="39"/>
              <w:spacing w:after="0"/>
              <w:rPr>
                <w:sz w:val="20"/>
                <w:szCs w:val="20"/>
                <w:color w:val="auto"/>
              </w:rPr>
            </w:pPr>
            <w:r>
              <w:rPr>
                <w:rFonts w:ascii="Arial" w:cs="Arial" w:eastAsia="Arial" w:hAnsi="Arial"/>
                <w:sz w:val="12"/>
                <w:szCs w:val="12"/>
                <w:color w:val="auto"/>
                <w:w w:val="89"/>
              </w:rPr>
              <w:t>Green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-2204085</wp:posOffset>
            </wp:positionV>
            <wp:extent cx="7136130" cy="107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-1904365</wp:posOffset>
            </wp:positionV>
            <wp:extent cx="7136130" cy="191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-1554480</wp:posOffset>
            </wp:positionV>
            <wp:extent cx="7136130" cy="1079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-1337945</wp:posOffset>
            </wp:positionV>
            <wp:extent cx="7136130" cy="1581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158115"/>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-1071245</wp:posOffset>
            </wp:positionV>
            <wp:extent cx="7136130" cy="1581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158115"/>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-755015</wp:posOffset>
            </wp:positionV>
            <wp:extent cx="7136130" cy="191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-405130</wp:posOffset>
            </wp:positionV>
            <wp:extent cx="7136130" cy="1079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-139065</wp:posOffset>
            </wp:positionV>
            <wp:extent cx="7136130" cy="191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191770"/>
                    </a:xfrm>
                    <a:prstGeom prst="rect">
                      <a:avLst/>
                    </a:prstGeom>
                    <a:noFill/>
                  </pic:spPr>
                </pic:pic>
              </a:graphicData>
            </a:graphic>
          </wp:anchor>
        </w:drawing>
      </w:r>
    </w:p>
    <w:p>
      <w:pPr>
        <w:spacing w:after="0" w:line="61" w:lineRule="exact"/>
        <w:rPr>
          <w:sz w:val="20"/>
          <w:szCs w:val="20"/>
          <w:color w:val="auto"/>
        </w:rPr>
      </w:pPr>
    </w:p>
    <w:p>
      <w:pPr>
        <w:spacing w:after="0" w:line="394" w:lineRule="auto"/>
        <w:rPr>
          <w:sz w:val="20"/>
          <w:szCs w:val="20"/>
          <w:color w:val="auto"/>
        </w:rPr>
      </w:pPr>
      <w:r>
        <w:rPr>
          <w:rFonts w:ascii="Arial" w:cs="Arial" w:eastAsia="Arial" w:hAnsi="Arial"/>
          <w:sz w:val="12"/>
          <w:szCs w:val="12"/>
          <w:color w:val="auto"/>
        </w:rPr>
        <w:t>Contributions to other multiemployer plans Total contributions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-178435</wp:posOffset>
            </wp:positionV>
            <wp:extent cx="7136130" cy="133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2"/>
              </w:rPr>
              <w:t>Implemented</w:t>
            </w: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5,208</w:t>
            </w:r>
          </w:p>
        </w:tc>
        <w:tc>
          <w:tcPr>
            <w:tcW w:w="100" w:type="dxa"/>
            <w:vAlign w:val="bottom"/>
          </w:tcPr>
          <w:p>
            <w:pPr>
              <w:spacing w:after="0"/>
              <w:rPr>
                <w:sz w:val="13"/>
                <w:szCs w:val="13"/>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4,003</w:t>
            </w:r>
          </w:p>
        </w:tc>
        <w:tc>
          <w:tcPr>
            <w:tcW w:w="100" w:type="dxa"/>
            <w:vAlign w:val="bottom"/>
          </w:tcPr>
          <w:p>
            <w:pPr>
              <w:spacing w:after="0"/>
              <w:rPr>
                <w:sz w:val="13"/>
                <w:szCs w:val="13"/>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6,634</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36"/>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2,674</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302"/>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2"/>
              </w:rPr>
              <w:t>Implemented</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1,958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1,560</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75"/>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1,227</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10"/>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427</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170"/>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1,709</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10"/>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2"/>
              </w:rPr>
              <w:t>Implemented</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1,523</w:t>
            </w:r>
          </w:p>
        </w:tc>
        <w:tc>
          <w:tcPr>
            <w:tcW w:w="680" w:type="dxa"/>
            <w:vAlign w:val="bottom"/>
          </w:tcPr>
          <w:p>
            <w:pPr>
              <w:ind w:left="500"/>
              <w:spacing w:after="0"/>
              <w:rPr>
                <w:sz w:val="20"/>
                <w:szCs w:val="20"/>
                <w:color w:val="auto"/>
              </w:rPr>
            </w:pPr>
            <w:r>
              <w:rPr>
                <w:rFonts w:ascii="Arial" w:cs="Arial" w:eastAsia="Arial" w:hAnsi="Arial"/>
                <w:sz w:val="12"/>
                <w:szCs w:val="12"/>
                <w:color w:val="auto"/>
                <w:w w:val="77"/>
              </w:rPr>
              <w:t>Yes</w:t>
            </w:r>
          </w:p>
        </w:tc>
      </w:tr>
      <w:tr>
        <w:trPr>
          <w:trHeight w:val="210"/>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1,021</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10"/>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2"/>
              </w:rPr>
              <w:t>Implemented</w:t>
            </w:r>
          </w:p>
        </w:tc>
        <w:tc>
          <w:tcPr>
            <w:tcW w:w="2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3,042</w:t>
            </w:r>
          </w:p>
        </w:tc>
        <w:tc>
          <w:tcPr>
            <w:tcW w:w="680" w:type="dxa"/>
            <w:vAlign w:val="bottom"/>
          </w:tcPr>
          <w:p>
            <w:pPr>
              <w:ind w:left="500"/>
              <w:spacing w:after="0"/>
              <w:rPr>
                <w:sz w:val="20"/>
                <w:szCs w:val="20"/>
                <w:color w:val="auto"/>
              </w:rPr>
            </w:pPr>
            <w:r>
              <w:rPr>
                <w:rFonts w:ascii="Arial" w:cs="Arial" w:eastAsia="Arial" w:hAnsi="Arial"/>
                <w:sz w:val="12"/>
                <w:szCs w:val="12"/>
                <w:color w:val="auto"/>
                <w:w w:val="77"/>
              </w:rPr>
              <w:t>Yes</w:t>
            </w:r>
          </w:p>
        </w:tc>
      </w:tr>
      <w:tr>
        <w:trPr>
          <w:trHeight w:val="249"/>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2,951</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75"/>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2,504</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75"/>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1,604</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10"/>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840</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10"/>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835</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75"/>
        </w:trPr>
        <w:tc>
          <w:tcPr>
            <w:tcW w:w="1020" w:type="dxa"/>
            <w:vAlign w:val="bottom"/>
          </w:tcPr>
          <w:p>
            <w:pPr>
              <w:jc w:val="center"/>
              <w:ind w:right="319"/>
              <w:spacing w:after="0"/>
              <w:rPr>
                <w:sz w:val="20"/>
                <w:szCs w:val="20"/>
                <w:color w:val="auto"/>
              </w:rPr>
            </w:pPr>
            <w:r>
              <w:rPr>
                <w:rFonts w:ascii="Arial" w:cs="Arial" w:eastAsia="Arial" w:hAnsi="Arial"/>
                <w:sz w:val="12"/>
                <w:szCs w:val="12"/>
                <w:color w:val="auto"/>
                <w:w w:val="95"/>
              </w:rPr>
              <w:t>NA</w:t>
            </w:r>
          </w:p>
        </w:tc>
        <w:tc>
          <w:tcPr>
            <w:tcW w:w="26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500</w:t>
            </w:r>
          </w:p>
        </w:tc>
        <w:tc>
          <w:tcPr>
            <w:tcW w:w="680" w:type="dxa"/>
            <w:vAlign w:val="bottom"/>
          </w:tcPr>
          <w:p>
            <w:pPr>
              <w:ind w:left="520"/>
              <w:spacing w:after="0"/>
              <w:rPr>
                <w:sz w:val="20"/>
                <w:szCs w:val="20"/>
                <w:color w:val="auto"/>
              </w:rPr>
            </w:pPr>
            <w:r>
              <w:rPr>
                <w:rFonts w:ascii="Arial" w:cs="Arial" w:eastAsia="Arial" w:hAnsi="Arial"/>
                <w:sz w:val="12"/>
                <w:szCs w:val="12"/>
                <w:color w:val="auto"/>
                <w:w w:val="90"/>
              </w:rPr>
              <w:t>No</w:t>
            </w:r>
          </w:p>
        </w:tc>
      </w:tr>
      <w:tr>
        <w:trPr>
          <w:trHeight w:val="246"/>
        </w:trPr>
        <w:tc>
          <w:tcPr>
            <w:tcW w:w="1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8,352</w:t>
            </w:r>
          </w:p>
        </w:tc>
        <w:tc>
          <w:tcPr>
            <w:tcW w:w="680" w:type="dxa"/>
            <w:vAlign w:val="bottom"/>
          </w:tcPr>
          <w:p>
            <w:pPr>
              <w:spacing w:after="0"/>
              <w:rPr>
                <w:sz w:val="21"/>
                <w:szCs w:val="21"/>
                <w:color w:val="auto"/>
              </w:rPr>
            </w:pPr>
          </w:p>
        </w:tc>
      </w:tr>
      <w:tr>
        <w:trPr>
          <w:trHeight w:val="164"/>
        </w:trPr>
        <w:tc>
          <w:tcPr>
            <w:tcW w:w="1020" w:type="dxa"/>
            <w:vAlign w:val="bottom"/>
          </w:tcPr>
          <w:p>
            <w:pPr>
              <w:spacing w:after="0"/>
              <w:rPr>
                <w:sz w:val="14"/>
                <w:szCs w:val="1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16,818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15,369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37,403</w:t>
            </w:r>
          </w:p>
        </w:tc>
        <w:tc>
          <w:tcPr>
            <w:tcW w:w="680" w:type="dxa"/>
            <w:vAlign w:val="bottom"/>
          </w:tcPr>
          <w:p>
            <w:pPr>
              <w:spacing w:after="0"/>
              <w:rPr>
                <w:sz w:val="14"/>
                <w:szCs w:val="14"/>
                <w:color w:val="auto"/>
              </w:rPr>
            </w:pPr>
          </w:p>
        </w:tc>
      </w:tr>
      <w:tr>
        <w:trPr>
          <w:trHeight w:val="26"/>
        </w:trPr>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r>
    </w:tbl>
    <w:p>
      <w:pPr>
        <w:spacing w:after="0" w:line="245" w:lineRule="exact"/>
        <w:rPr>
          <w:sz w:val="20"/>
          <w:szCs w:val="20"/>
          <w:color w:val="auto"/>
        </w:rPr>
      </w:pPr>
    </w:p>
    <w:p>
      <w:pPr>
        <w:sectPr>
          <w:pgSz w:w="11900" w:h="16838" w:orient="portrait"/>
          <w:cols w:equalWidth="0" w:num="4">
            <w:col w:w="2740" w:space="440"/>
            <w:col w:w="820" w:space="300"/>
            <w:col w:w="2120" w:space="20"/>
            <w:col w:w="480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both"/>
        <w:ind w:left="440" w:hanging="317"/>
        <w:spacing w:after="0" w:line="300" w:lineRule="auto"/>
        <w:tabs>
          <w:tab w:leader="none" w:pos="432" w:val="left"/>
        </w:tabs>
        <w:numPr>
          <w:ilvl w:val="0"/>
          <w:numId w:val="38"/>
        </w:numPr>
        <w:rPr>
          <w:rFonts w:ascii="Arial" w:cs="Arial" w:eastAsia="Arial" w:hAnsi="Arial"/>
          <w:sz w:val="12"/>
          <w:szCs w:val="12"/>
          <w:color w:val="auto"/>
        </w:rPr>
      </w:pPr>
      <w:r>
        <w:rPr>
          <w:rFonts w:ascii="Arial" w:cs="Arial" w:eastAsia="Arial" w:hAnsi="Arial"/>
          <w:sz w:val="12"/>
          <w:szCs w:val="12"/>
          <w:color w:val="auto"/>
        </w:rPr>
        <w:t>For the National Electrical Benefit Fund for Locals 71/126/488/1319, Local 164 IBEW Pension Plan, Local IBEW 102 IBEW Pension Plan, Steamfitters Local Union No. 420 Pension Plan, Locals 1090 and 351 of the Ohio Carpenters' Pension Fund, Iron Workers Pension Plan Local 55, Northwestern Ohio Plumbers and Pipefitters Pension Local 50, Indiana Laborers Pension Fund, and Pipefitters Retirement Fund Local 597, we have not received a funding notification that covers our fiscal year 2022 during the preparation of this Form 10-K. For Local 164 IBEW Pension Plan, we have not received a funding notification that covers our fiscal year 2021 either. Under Federal pension law, if a multiemployer pension plan is determined to be in critical or endangered status, the plan must provide notice of this status to participants, beneficiaries, the bargaining parties, the Pension Benefit Guaranty Corporation, and the Department of Labor. We also observed that these plans have not submitted any Critical or Endangered Status Notices to the Department of Labor for calendar years that we have not received notification. The Critical or Endangered Status Notices can be accessed at https://www.dol.gov/agencies/ebsa/about-ebsa/our-activities/public-disclosure/2022-funding-status-notices#2020-c-and-d.</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from us at the current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We have made 1,000,000 shares available under the ESPP. The ESPP can be terminated at any time at the discretion of the Board of Directors and will automatically terminate once the plan shares are exhausted. Shares are issued from Treasury Stock under the ESPP. There were 29,826 shares issued in fiscal 2022, 29,171 shares in fiscal 2021, and 20,733 shares in fiscal 2020.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13—Segment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In fiscal 2022, we operated our business through three reportable segments:</w:t>
      </w:r>
    </w:p>
    <w:p>
      <w:pPr>
        <w:spacing w:after="0" w:line="166" w:lineRule="exact"/>
        <w:rPr>
          <w:sz w:val="20"/>
          <w:szCs w:val="20"/>
          <w:color w:val="auto"/>
        </w:rPr>
      </w:pPr>
    </w:p>
    <w:p>
      <w:pPr>
        <w:jc w:val="both"/>
        <w:ind w:left="640" w:hanging="320"/>
        <w:spacing w:after="0" w:line="292" w:lineRule="auto"/>
        <w:tabs>
          <w:tab w:leader="none" w:pos="635"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Utility and Power Infrastructure</w:t>
      </w:r>
      <w:r>
        <w:rPr>
          <w:rFonts w:ascii="Arial" w:cs="Arial" w:eastAsia="Arial" w:hAnsi="Arial"/>
          <w:sz w:val="16"/>
          <w:szCs w:val="16"/>
          <w:color w:val="auto"/>
        </w:rPr>
        <w:t>: consists of power delivery services provided to investor-owned utilities, including construction of new substations,</w:t>
      </w:r>
      <w:r>
        <w:rPr>
          <w:rFonts w:ascii="Arial" w:cs="Arial" w:eastAsia="Arial" w:hAnsi="Arial"/>
          <w:sz w:val="16"/>
          <w:szCs w:val="16"/>
          <w:b w:val="1"/>
          <w:bCs w:val="1"/>
          <w:color w:val="auto"/>
        </w:rPr>
        <w:t xml:space="preserve"> </w:t>
      </w:r>
      <w:r>
        <w:rPr>
          <w:rFonts w:ascii="Arial" w:cs="Arial" w:eastAsia="Arial" w:hAnsi="Arial"/>
          <w:sz w:val="16"/>
          <w:szCs w:val="16"/>
          <w:color w:val="auto"/>
        </w:rPr>
        <w:t>upgrades of existing substations, transmission and distribution line installations, upgrades and maintenance, as well as emergency and storm restoration services. We also provide engineering, fabrication, and construction services for LNG utility peak shaving facilities, and construction and maintenance services to a variety of power generation facilities, including natural gas fired facilities, in simple or combined cycle configuration.</w:t>
      </w:r>
    </w:p>
    <w:p>
      <w:pPr>
        <w:spacing w:after="0" w:line="101" w:lineRule="exact"/>
        <w:rPr>
          <w:rFonts w:ascii="Arial" w:cs="Arial" w:eastAsia="Arial" w:hAnsi="Arial"/>
          <w:sz w:val="16"/>
          <w:szCs w:val="16"/>
          <w:color w:val="auto"/>
        </w:rPr>
      </w:pPr>
    </w:p>
    <w:p>
      <w:pPr>
        <w:jc w:val="both"/>
        <w:ind w:left="640" w:hanging="320"/>
        <w:spacing w:after="0" w:line="267"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Process and Industrial Facilities</w:t>
      </w:r>
      <w:r>
        <w:rPr>
          <w:rFonts w:ascii="Arial" w:cs="Arial" w:eastAsia="Arial" w:hAnsi="Arial"/>
          <w:sz w:val="17"/>
          <w:szCs w:val="17"/>
          <w:color w:val="auto"/>
        </w:rPr>
        <w:t>: primarily serves customers in the downstream and midstream petroleum industries who are engaged in refining</w:t>
      </w:r>
      <w:r>
        <w:rPr>
          <w:rFonts w:ascii="Arial" w:cs="Arial" w:eastAsia="Arial" w:hAnsi="Arial"/>
          <w:sz w:val="17"/>
          <w:szCs w:val="17"/>
          <w:b w:val="1"/>
          <w:bCs w:val="1"/>
          <w:color w:val="auto"/>
        </w:rPr>
        <w:t xml:space="preserve"> </w:t>
      </w:r>
      <w:r>
        <w:rPr>
          <w:rFonts w:ascii="Arial" w:cs="Arial" w:eastAsia="Arial" w:hAnsi="Arial"/>
          <w:sz w:val="17"/>
          <w:szCs w:val="17"/>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19" w:lineRule="exact"/>
        <w:rPr>
          <w:rFonts w:ascii="Arial" w:cs="Arial" w:eastAsia="Arial" w:hAnsi="Arial"/>
          <w:sz w:val="17"/>
          <w:szCs w:val="17"/>
          <w:color w:val="auto"/>
        </w:rPr>
      </w:pPr>
    </w:p>
    <w:p>
      <w:pPr>
        <w:jc w:val="both"/>
        <w:ind w:left="640" w:hanging="320"/>
        <w:spacing w:after="0" w:line="265"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storage tanks and terminals. We also include work related to cryogenic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specialty storage tanks and terminals, including LNG, liquid nitrogen/liquid oxygen, liquid petroleum, hydrogen and other specialty vessels such as spheres in this segment, as well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better align controllable costs with the responsibility of segment management, and to be consistent with how our chief operating decision-maker assesses segment performance and allocates resources.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540"/>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900"/>
        <w:spacing w:after="0"/>
        <w:rPr>
          <w:sz w:val="20"/>
          <w:szCs w:val="20"/>
          <w:color w:val="auto"/>
        </w:rPr>
      </w:pPr>
      <w:r>
        <w:rPr>
          <w:rFonts w:ascii="Arial" w:cs="Arial" w:eastAsia="Arial" w:hAnsi="Arial"/>
          <w:sz w:val="17"/>
          <w:szCs w:val="17"/>
          <w:b w:val="1"/>
          <w:bCs w:val="1"/>
          <w:color w:val="auto"/>
        </w:rPr>
        <w:t>Results of Operations</w:t>
      </w:r>
    </w:p>
    <w:p>
      <w:pPr>
        <w:spacing w:after="0" w:line="32" w:lineRule="exact"/>
        <w:rPr>
          <w:sz w:val="20"/>
          <w:szCs w:val="20"/>
          <w:color w:val="auto"/>
        </w:rPr>
      </w:pPr>
    </w:p>
    <w:p>
      <w:pPr>
        <w:jc w:val="right"/>
        <w:ind w:right="4960"/>
        <w:spacing w:after="0"/>
        <w:rPr>
          <w:sz w:val="20"/>
          <w:szCs w:val="20"/>
          <w:color w:val="auto"/>
        </w:rPr>
      </w:pPr>
      <w:r>
        <w:rPr>
          <w:rFonts w:ascii="Arial" w:cs="Arial" w:eastAsia="Arial" w:hAnsi="Arial"/>
          <w:sz w:val="17"/>
          <w:szCs w:val="17"/>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Utility and Power</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Process and</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Storage and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1"/>
              </w:rPr>
              <w:t>Industrial</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2"/>
              </w:rPr>
              <w:t>Terminal</w:t>
            </w: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Infrastructure</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Facilities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Fiscal year ended June 30, 2022</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inter-segment 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Gross profit (loss)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Goodwill impairment and restructuring costs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Segment assets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104,078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141,084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101,572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ended June 30, 2021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Gross revenue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210,052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201,472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267,982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inter-segment revenue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Consolidated revenue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210,052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199,917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263,429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18,644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costs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(6,418)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assets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Fiscal year ended June 30, 2020</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470,871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inter-segment 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467,066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Gross profit (loss)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61,413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Intangible asset impairments and restructuring costs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color w:val="auto"/>
              </w:rPr>
              <w:t>Segment assets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67,398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138,734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187,167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2"/>
        </w:trPr>
        <w:tc>
          <w:tcPr>
            <w:tcW w:w="494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76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Significant Customers: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4480" w:type="dxa"/>
            <w:vAlign w:val="bottom"/>
            <w:gridSpan w:val="7"/>
          </w:tcPr>
          <w:p>
            <w:pPr>
              <w:ind w:left="940"/>
              <w:spacing w:after="0"/>
              <w:rPr>
                <w:sz w:val="20"/>
                <w:szCs w:val="20"/>
                <w:color w:val="auto"/>
              </w:rPr>
            </w:pPr>
            <w:r>
              <w:rPr>
                <w:rFonts w:ascii="Arial" w:cs="Arial" w:eastAsia="Arial" w:hAnsi="Arial"/>
                <w:sz w:val="14"/>
                <w:szCs w:val="14"/>
                <w:b w:val="1"/>
                <w:bCs w:val="1"/>
                <w:color w:val="auto"/>
                <w:w w:val="87"/>
              </w:rPr>
              <w:t>Significant Customers as a Percentage of Segment Revenue</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Utility and Power</w:t>
            </w:r>
          </w:p>
        </w:tc>
        <w:tc>
          <w:tcPr>
            <w:tcW w:w="15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4"/>
              </w:rPr>
              <w:t>Process and</w:t>
            </w:r>
          </w:p>
        </w:tc>
        <w:tc>
          <w:tcPr>
            <w:tcW w:w="940" w:type="dxa"/>
            <w:vAlign w:val="bottom"/>
          </w:tcPr>
          <w:p>
            <w:pPr>
              <w:jc w:val="right"/>
              <w:ind w:right="136"/>
              <w:spacing w:after="0" w:line="128" w:lineRule="exact"/>
              <w:rPr>
                <w:sz w:val="20"/>
                <w:szCs w:val="20"/>
                <w:color w:val="auto"/>
              </w:rPr>
            </w:pPr>
            <w:r>
              <w:rPr>
                <w:rFonts w:ascii="Arial" w:cs="Arial" w:eastAsia="Arial" w:hAnsi="Arial"/>
                <w:sz w:val="14"/>
                <w:szCs w:val="14"/>
                <w:b w:val="1"/>
                <w:bCs w:val="1"/>
                <w:color w:val="auto"/>
                <w:w w:val="86"/>
              </w:rPr>
              <w:t>Storage and</w:t>
            </w:r>
          </w:p>
        </w:tc>
        <w:tc>
          <w:tcPr>
            <w:tcW w:w="0" w:type="dxa"/>
            <w:vAlign w:val="bottom"/>
          </w:tcPr>
          <w:p>
            <w:pPr>
              <w:spacing w:after="0"/>
              <w:rPr>
                <w:sz w:val="1"/>
                <w:szCs w:val="1"/>
                <w:color w:val="auto"/>
              </w:rPr>
            </w:pPr>
          </w:p>
        </w:tc>
      </w:tr>
      <w:tr>
        <w:trPr>
          <w:trHeight w:val="141"/>
        </w:trPr>
        <w:tc>
          <w:tcPr>
            <w:tcW w:w="5820" w:type="dxa"/>
            <w:vAlign w:val="bottom"/>
          </w:tcPr>
          <w:p>
            <w:pPr>
              <w:spacing w:after="0"/>
              <w:rPr>
                <w:sz w:val="12"/>
                <w:szCs w:val="12"/>
                <w:color w:val="auto"/>
              </w:rPr>
            </w:pPr>
          </w:p>
        </w:tc>
        <w:tc>
          <w:tcPr>
            <w:tcW w:w="14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146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940" w:type="dxa"/>
            <w:vAlign w:val="bottom"/>
          </w:tcPr>
          <w:p>
            <w:pPr>
              <w:jc w:val="right"/>
              <w:ind w:right="216"/>
              <w:spacing w:after="0" w:line="141" w:lineRule="exact"/>
              <w:rPr>
                <w:sz w:val="20"/>
                <w:szCs w:val="20"/>
                <w:color w:val="auto"/>
              </w:rPr>
            </w:pPr>
            <w:r>
              <w:rPr>
                <w:rFonts w:ascii="Arial" w:cs="Arial" w:eastAsia="Arial" w:hAnsi="Arial"/>
                <w:sz w:val="14"/>
                <w:szCs w:val="14"/>
                <w:b w:val="1"/>
                <w:bCs w:val="1"/>
                <w:color w:val="auto"/>
              </w:rPr>
              <w:t>Terminal</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Infrastructure</w:t>
            </w: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Industrial Facilities</w:t>
            </w:r>
          </w:p>
        </w:tc>
        <w:tc>
          <w:tcPr>
            <w:tcW w:w="940" w:type="dxa"/>
            <w:vAlign w:val="bottom"/>
          </w:tcPr>
          <w:p>
            <w:pPr>
              <w:jc w:val="right"/>
              <w:ind w:right="216"/>
              <w:spacing w:after="0"/>
              <w:rPr>
                <w:sz w:val="20"/>
                <w:szCs w:val="20"/>
                <w:color w:val="auto"/>
              </w:rPr>
            </w:pPr>
            <w:r>
              <w:rPr>
                <w:rFonts w:ascii="Arial" w:cs="Arial" w:eastAsia="Arial" w:hAnsi="Arial"/>
                <w:sz w:val="14"/>
                <w:szCs w:val="14"/>
                <w:b w:val="1"/>
                <w:bCs w:val="1"/>
                <w:color w:val="auto"/>
                <w:w w:val="97"/>
              </w:rPr>
              <w:t>Solutions</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7"/>
                <w:szCs w:val="17"/>
                <w:b w:val="1"/>
                <w:bCs w:val="1"/>
                <w:color w:val="auto"/>
              </w:rPr>
              <w:t>Fiscal Year ended June 30, 2022</w:t>
            </w: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one</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7"/>
                <w:szCs w:val="17"/>
                <w:color w:val="auto"/>
              </w:rPr>
              <w:t>Customer two</w:t>
            </w:r>
          </w:p>
        </w:tc>
        <w:tc>
          <w:tcPr>
            <w:tcW w:w="1340" w:type="dxa"/>
            <w:vAlign w:val="bottom"/>
          </w:tcPr>
          <w:p>
            <w:pPr>
              <w:jc w:val="right"/>
              <w:spacing w:after="0"/>
              <w:rPr>
                <w:sz w:val="20"/>
                <w:szCs w:val="20"/>
                <w:color w:val="auto"/>
              </w:rPr>
            </w:pPr>
            <w:r>
              <w:rPr>
                <w:rFonts w:ascii="Arial" w:cs="Arial" w:eastAsia="Arial" w:hAnsi="Arial"/>
                <w:sz w:val="17"/>
                <w:szCs w:val="17"/>
                <w:color w:val="auto"/>
              </w:rPr>
              <w:t>11.0 %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35.5 %</w:t>
            </w:r>
          </w:p>
        </w:tc>
        <w:tc>
          <w:tcPr>
            <w:tcW w:w="100" w:type="dxa"/>
            <w:vAlign w:val="bottom"/>
          </w:tcPr>
          <w:p>
            <w:pPr>
              <w:spacing w:after="0"/>
              <w:rPr>
                <w:sz w:val="19"/>
                <w:szCs w:val="19"/>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three</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7"/>
                <w:szCs w:val="17"/>
                <w:b w:val="1"/>
                <w:bCs w:val="1"/>
                <w:color w:val="auto"/>
              </w:rPr>
              <w:t>Fiscal Year ended June 30, 2021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one</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7"/>
                <w:szCs w:val="17"/>
                <w:color w:val="auto"/>
              </w:rPr>
              <w:t>Customer two</w:t>
            </w:r>
          </w:p>
        </w:tc>
        <w:tc>
          <w:tcPr>
            <w:tcW w:w="1340" w:type="dxa"/>
            <w:vAlign w:val="bottom"/>
          </w:tcPr>
          <w:p>
            <w:pPr>
              <w:jc w:val="right"/>
              <w:spacing w:after="0"/>
              <w:rPr>
                <w:sz w:val="20"/>
                <w:szCs w:val="20"/>
                <w:color w:val="auto"/>
              </w:rPr>
            </w:pPr>
            <w:r>
              <w:rPr>
                <w:rFonts w:ascii="Arial" w:cs="Arial" w:eastAsia="Arial" w:hAnsi="Arial"/>
                <w:sz w:val="17"/>
                <w:szCs w:val="17"/>
                <w:color w:val="auto"/>
              </w:rPr>
              <w:t>9.9 %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260" w:type="dxa"/>
            <w:vAlign w:val="bottom"/>
          </w:tcPr>
          <w:p>
            <w:pPr>
              <w:jc w:val="right"/>
              <w:spacing w:after="0"/>
              <w:rPr>
                <w:sz w:val="20"/>
                <w:szCs w:val="20"/>
                <w:color w:val="auto"/>
              </w:rPr>
            </w:pPr>
            <w:r>
              <w:rPr>
                <w:rFonts w:ascii="Arial" w:cs="Arial" w:eastAsia="Arial" w:hAnsi="Arial"/>
                <w:sz w:val="17"/>
                <w:szCs w:val="17"/>
                <w:color w:val="auto"/>
              </w:rPr>
              <w:t>33.3 %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three</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7"/>
                <w:szCs w:val="17"/>
                <w:color w:val="auto"/>
              </w:rPr>
              <w:t>Customer four</w:t>
            </w:r>
          </w:p>
        </w:tc>
        <w:tc>
          <w:tcPr>
            <w:tcW w:w="1340" w:type="dxa"/>
            <w:vAlign w:val="bottom"/>
          </w:tcPr>
          <w:p>
            <w:pPr>
              <w:jc w:val="right"/>
              <w:spacing w:after="0"/>
              <w:rPr>
                <w:sz w:val="20"/>
                <w:szCs w:val="20"/>
                <w:color w:val="auto"/>
              </w:rPr>
            </w:pPr>
            <w:r>
              <w:rPr>
                <w:rFonts w:ascii="Arial" w:cs="Arial" w:eastAsia="Arial" w:hAnsi="Arial"/>
                <w:sz w:val="17"/>
                <w:szCs w:val="17"/>
                <w:color w:val="auto"/>
              </w:rPr>
              <w:t>4.4 %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ended June 30, 2020</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7"/>
                <w:szCs w:val="17"/>
                <w:color w:val="auto"/>
              </w:rPr>
              <w:t>Customer one</w:t>
            </w:r>
          </w:p>
        </w:tc>
        <w:tc>
          <w:tcPr>
            <w:tcW w:w="1340" w:type="dxa"/>
            <w:vAlign w:val="bottom"/>
          </w:tcPr>
          <w:p>
            <w:pPr>
              <w:jc w:val="right"/>
              <w:spacing w:after="0"/>
              <w:rPr>
                <w:sz w:val="20"/>
                <w:szCs w:val="20"/>
                <w:color w:val="auto"/>
              </w:rPr>
            </w:pPr>
            <w:r>
              <w:rPr>
                <w:rFonts w:ascii="Arial" w:cs="Arial" w:eastAsia="Arial" w:hAnsi="Arial"/>
                <w:sz w:val="17"/>
                <w:szCs w:val="17"/>
                <w:color w:val="auto"/>
              </w:rPr>
              <w:t>9.7 %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260" w:type="dxa"/>
            <w:vAlign w:val="bottom"/>
          </w:tcPr>
          <w:p>
            <w:pPr>
              <w:jc w:val="right"/>
              <w:spacing w:after="0"/>
              <w:rPr>
                <w:sz w:val="20"/>
                <w:szCs w:val="20"/>
                <w:color w:val="auto"/>
              </w:rPr>
            </w:pPr>
            <w:r>
              <w:rPr>
                <w:rFonts w:ascii="Arial" w:cs="Arial" w:eastAsia="Arial" w:hAnsi="Arial"/>
                <w:sz w:val="17"/>
                <w:szCs w:val="17"/>
                <w:color w:val="auto"/>
              </w:rPr>
              <w:t>25.4 %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two</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42.7 %</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7"/>
                <w:szCs w:val="17"/>
                <w:color w:val="auto"/>
              </w:rPr>
              <w:t>Customer three</w:t>
            </w:r>
          </w:p>
        </w:tc>
        <w:tc>
          <w:tcPr>
            <w:tcW w:w="1340" w:type="dxa"/>
            <w:vAlign w:val="bottom"/>
          </w:tcPr>
          <w:p>
            <w:pPr>
              <w:jc w:val="right"/>
              <w:spacing w:after="0"/>
              <w:rPr>
                <w:sz w:val="20"/>
                <w:szCs w:val="20"/>
                <w:color w:val="auto"/>
              </w:rPr>
            </w:pPr>
            <w:r>
              <w:rPr>
                <w:rFonts w:ascii="Arial" w:cs="Arial" w:eastAsia="Arial" w:hAnsi="Arial"/>
                <w:sz w:val="17"/>
                <w:szCs w:val="17"/>
                <w:color w:val="auto"/>
              </w:rPr>
              <w:t>8.2 %</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19.3 %</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four</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16.1 %</w:t>
            </w:r>
          </w:p>
        </w:tc>
        <w:tc>
          <w:tcPr>
            <w:tcW w:w="0" w:type="dxa"/>
            <w:vAlign w:val="bottom"/>
          </w:tcPr>
          <w:p>
            <w:pPr>
              <w:spacing w:after="0"/>
              <w:rPr>
                <w:sz w:val="1"/>
                <w:szCs w:val="1"/>
                <w:color w:val="auto"/>
              </w:rPr>
            </w:pPr>
          </w:p>
        </w:tc>
      </w:tr>
      <w:tr>
        <w:trPr>
          <w:trHeight w:val="222"/>
        </w:trPr>
        <w:tc>
          <w:tcPr>
            <w:tcW w:w="5820" w:type="dxa"/>
            <w:vAlign w:val="bottom"/>
          </w:tcPr>
          <w:p>
            <w:pPr>
              <w:ind w:left="20"/>
              <w:spacing w:after="0"/>
              <w:rPr>
                <w:sz w:val="20"/>
                <w:szCs w:val="20"/>
                <w:color w:val="auto"/>
              </w:rPr>
            </w:pPr>
            <w:r>
              <w:rPr>
                <w:rFonts w:ascii="Arial" w:cs="Arial" w:eastAsia="Arial" w:hAnsi="Arial"/>
                <w:sz w:val="17"/>
                <w:szCs w:val="17"/>
                <w:color w:val="auto"/>
              </w:rPr>
              <w:t>Customer five</w:t>
            </w:r>
          </w:p>
        </w:tc>
        <w:tc>
          <w:tcPr>
            <w:tcW w:w="134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10.5 %</w:t>
            </w:r>
          </w:p>
        </w:tc>
        <w:tc>
          <w:tcPr>
            <w:tcW w:w="100" w:type="dxa"/>
            <w:vAlign w:val="bottom"/>
          </w:tcPr>
          <w:p>
            <w:pPr>
              <w:spacing w:after="0"/>
              <w:rPr>
                <w:sz w:val="19"/>
                <w:szCs w:val="19"/>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7"/>
                <w:szCs w:val="17"/>
                <w:color w:val="auto"/>
              </w:rPr>
              <w:t>— %</w:t>
            </w: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14—Restructuring Costs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business improvement plan consists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The restructuring costs consist primarily of severance costs, facility closure costs, consulting fees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Restructuring costs incurred are classified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Fiscal Year Ended</w:t>
            </w: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Fiscal Year Ended</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Fiscal Year Ended</w:t>
            </w:r>
          </w:p>
        </w:tc>
        <w:tc>
          <w:tcPr>
            <w:tcW w:w="100" w:type="dxa"/>
            <w:vAlign w:val="bottom"/>
          </w:tcPr>
          <w:p>
            <w:pPr>
              <w:spacing w:after="0"/>
              <w:rPr>
                <w:sz w:val="14"/>
                <w:szCs w:val="14"/>
                <w:color w:val="auto"/>
              </w:rPr>
            </w:pPr>
          </w:p>
        </w:tc>
        <w:tc>
          <w:tcPr>
            <w:tcW w:w="120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Since Inception of</w:t>
            </w:r>
          </w:p>
        </w:tc>
        <w:tc>
          <w:tcPr>
            <w:tcW w:w="0" w:type="dxa"/>
            <w:vAlign w:val="bottom"/>
          </w:tcPr>
          <w:p>
            <w:pPr>
              <w:spacing w:after="0"/>
              <w:rPr>
                <w:sz w:val="1"/>
                <w:szCs w:val="1"/>
                <w:color w:val="auto"/>
              </w:rPr>
            </w:pPr>
          </w:p>
        </w:tc>
      </w:tr>
      <w:tr>
        <w:trPr>
          <w:trHeight w:val="141"/>
        </w:trPr>
        <w:tc>
          <w:tcPr>
            <w:tcW w:w="57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14"/>
              <w:spacing w:after="0" w:line="141" w:lineRule="exact"/>
              <w:rPr>
                <w:sz w:val="20"/>
                <w:szCs w:val="20"/>
                <w:color w:val="auto"/>
              </w:rPr>
            </w:pPr>
            <w:r>
              <w:rPr>
                <w:rFonts w:ascii="Arial" w:cs="Arial" w:eastAsia="Arial" w:hAnsi="Arial"/>
                <w:sz w:val="14"/>
                <w:szCs w:val="14"/>
                <w:b w:val="1"/>
                <w:bCs w:val="1"/>
                <w:color w:val="auto"/>
                <w:w w:val="80"/>
              </w:rPr>
              <w:t>Business</w:t>
            </w:r>
          </w:p>
        </w:tc>
        <w:tc>
          <w:tcPr>
            <w:tcW w:w="0" w:type="dxa"/>
            <w:vAlign w:val="bottom"/>
          </w:tcPr>
          <w:p>
            <w:pPr>
              <w:spacing w:after="0"/>
              <w:rPr>
                <w:sz w:val="1"/>
                <w:szCs w:val="1"/>
                <w:color w:val="auto"/>
              </w:rPr>
            </w:pPr>
          </w:p>
        </w:tc>
      </w:tr>
      <w:tr>
        <w:trPr>
          <w:trHeight w:val="191"/>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2022</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2021</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Improvement Plan</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4"/>
          </w:tcPr>
          <w:p>
            <w:pPr>
              <w:jc w:val="right"/>
              <w:ind w:right="873"/>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Utility and Power Infrastructure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1,199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1,340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2,584</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Facility costs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Other intangible asset impairments</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1,150</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5720" w:type="dxa"/>
            <w:vAlign w:val="bottom"/>
          </w:tcPr>
          <w:p>
            <w:pPr>
              <w:ind w:left="240"/>
              <w:spacing w:after="0"/>
              <w:rPr>
                <w:sz w:val="20"/>
                <w:szCs w:val="20"/>
                <w:color w:val="auto"/>
              </w:rPr>
            </w:pPr>
            <w:r>
              <w:rPr>
                <w:rFonts w:ascii="Arial" w:cs="Arial" w:eastAsia="Arial" w:hAnsi="Arial"/>
                <w:sz w:val="17"/>
                <w:szCs w:val="17"/>
                <w:color w:val="auto"/>
              </w:rPr>
              <w:t>Total Utility and Power Infrastructure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2,725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4,083</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2,951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6,167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9,096</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Facility costs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3,205</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Other intangible asset impairments</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Other costs</w:t>
            </w:r>
            <w:r>
              <w:rPr>
                <w:rFonts w:ascii="Arial" w:cs="Arial" w:eastAsia="Arial" w:hAnsi="Arial"/>
                <w:sz w:val="22"/>
                <w:szCs w:val="22"/>
                <w:b w:val="1"/>
                <w:bCs w:val="1"/>
                <w:color w:val="auto"/>
                <w:vertAlign w:val="superscript"/>
              </w:rPr>
              <w:t>(1)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r>
        <w:trPr>
          <w:trHeight w:val="216"/>
        </w:trPr>
        <w:tc>
          <w:tcPr>
            <w:tcW w:w="5720" w:type="dxa"/>
            <w:vAlign w:val="bottom"/>
          </w:tcPr>
          <w:p>
            <w:pPr>
              <w:ind w:left="240"/>
              <w:spacing w:after="0"/>
              <w:rPr>
                <w:sz w:val="20"/>
                <w:szCs w:val="20"/>
                <w:color w:val="auto"/>
              </w:rPr>
            </w:pPr>
            <w:r>
              <w:rPr>
                <w:rFonts w:ascii="Arial" w:cs="Arial" w:eastAsia="Arial" w:hAnsi="Arial"/>
                <w:sz w:val="17"/>
                <w:szCs w:val="17"/>
                <w:color w:val="auto"/>
              </w:rPr>
              <w:t>Total Process and Industrial Facilities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3,808</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9,299</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11,505</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Storage and Terminal Solutions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1,231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1,647</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Facility costs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Other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6"/>
        </w:trPr>
        <w:tc>
          <w:tcPr>
            <w:tcW w:w="57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Storage and Terminal Solutions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Corporate</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Facility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costs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Corporate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2,105</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3,270</w:t>
            </w:r>
          </w:p>
        </w:tc>
        <w:tc>
          <w:tcPr>
            <w:tcW w:w="0" w:type="dxa"/>
            <w:vAlign w:val="bottom"/>
          </w:tcPr>
          <w:p>
            <w:pPr>
              <w:spacing w:after="0"/>
              <w:rPr>
                <w:sz w:val="1"/>
                <w:szCs w:val="1"/>
                <w:color w:val="auto"/>
              </w:rPr>
            </w:pPr>
          </w:p>
        </w:tc>
      </w:tr>
      <w:tr>
        <w:trPr>
          <w:trHeight w:val="215"/>
        </w:trPr>
        <w:tc>
          <w:tcPr>
            <w:tcW w:w="5720" w:type="dxa"/>
            <w:vAlign w:val="bottom"/>
            <w:tcBorders>
              <w:bottom w:val="single" w:sz="8" w:color="CCEEFF"/>
            </w:tcBorders>
            <w:shd w:val="clear" w:color="auto" w:fill="CCEEFF"/>
          </w:tcPr>
          <w:p>
            <w:pPr>
              <w:ind w:left="440"/>
              <w:spacing w:after="0" w:line="190" w:lineRule="exact"/>
              <w:rPr>
                <w:sz w:val="20"/>
                <w:szCs w:val="20"/>
                <w:color w:val="auto"/>
              </w:rPr>
            </w:pPr>
            <w:r>
              <w:rPr>
                <w:rFonts w:ascii="Arial" w:cs="Arial" w:eastAsia="Arial" w:hAnsi="Arial"/>
                <w:sz w:val="17"/>
                <w:szCs w:val="17"/>
                <w:color w:val="auto"/>
              </w:rPr>
              <w:t>Total restructuring costs</w:t>
            </w:r>
          </w:p>
        </w:tc>
        <w:tc>
          <w:tcPr>
            <w:tcW w:w="1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646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6,756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14,010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21,412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Restructuring Costs by Type: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and other personnel-related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14,914</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Total facility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4,530</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intangible asset impairments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7"/>
                <w:szCs w:val="17"/>
                <w:color w:val="auto"/>
              </w:rPr>
              <w:t>Other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41"/>
        </w:trPr>
        <w:tc>
          <w:tcPr>
            <w:tcW w:w="57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restructuring costs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21,412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994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24" w:lineRule="exact"/>
        <w:rPr>
          <w:sz w:val="20"/>
          <w:szCs w:val="20"/>
          <w:color w:val="auto"/>
        </w:rPr>
      </w:pPr>
    </w:p>
    <w:p>
      <w:pPr>
        <w:ind w:left="560" w:hanging="319"/>
        <w:spacing w:after="0" w:line="280" w:lineRule="auto"/>
        <w:tabs>
          <w:tab w:leader="none" w:pos="552"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costs in the Process and Industrial Facilities segment consisted of a $1.6 million credit in the third quarter of fiscal 2022. The credit was due to a favorable settlement of a restructuring obligation related to our exit from the domestic iron and steel industry in fiscal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II—Valuation and Qualifying Accounts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2022, June 30, 2021, and June 30,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gridSpan w:val="2"/>
            <w:vMerge w:val="restart"/>
          </w:tcPr>
          <w:p>
            <w:pPr>
              <w:ind w:left="1940"/>
              <w:spacing w:after="0"/>
              <w:rPr>
                <w:sz w:val="20"/>
                <w:szCs w:val="20"/>
                <w:color w:val="auto"/>
              </w:rPr>
            </w:pPr>
            <w:r>
              <w:rPr>
                <w:rFonts w:ascii="Arial" w:cs="Arial" w:eastAsia="Arial" w:hAnsi="Arial"/>
                <w:sz w:val="16"/>
                <w:szCs w:val="16"/>
                <w:b w:val="1"/>
                <w:bCs w:val="1"/>
                <w:color w:val="auto"/>
              </w:rPr>
              <w:t>COL. A</w:t>
            </w:r>
          </w:p>
        </w:tc>
        <w:tc>
          <w:tcPr>
            <w:tcW w:w="14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5"/>
              </w:rPr>
              <w:t>COL. B</w:t>
            </w:r>
          </w:p>
        </w:tc>
        <w:tc>
          <w:tcPr>
            <w:tcW w:w="160" w:type="dxa"/>
            <w:vAlign w:val="bottom"/>
          </w:tcPr>
          <w:p>
            <w:pPr>
              <w:spacing w:after="0"/>
              <w:rPr>
                <w:sz w:val="16"/>
                <w:szCs w:val="16"/>
                <w:color w:val="auto"/>
              </w:rPr>
            </w:pPr>
          </w:p>
        </w:tc>
        <w:tc>
          <w:tcPr>
            <w:tcW w:w="1880" w:type="dxa"/>
            <w:vAlign w:val="bottom"/>
            <w:gridSpan w:val="3"/>
          </w:tcPr>
          <w:p>
            <w:pPr>
              <w:jc w:val="center"/>
              <w:ind w:left="18"/>
              <w:spacing w:after="0"/>
              <w:rPr>
                <w:sz w:val="20"/>
                <w:szCs w:val="20"/>
                <w:color w:val="auto"/>
              </w:rPr>
            </w:pPr>
            <w:r>
              <w:rPr>
                <w:rFonts w:ascii="Arial" w:cs="Arial" w:eastAsia="Arial" w:hAnsi="Arial"/>
                <w:sz w:val="16"/>
                <w:szCs w:val="16"/>
                <w:b w:val="1"/>
                <w:bCs w:val="1"/>
                <w:color w:val="auto"/>
                <w:w w:val="99"/>
              </w:rPr>
              <w:t>COL. C</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center"/>
              <w:ind w:right="56"/>
              <w:spacing w:after="0"/>
              <w:rPr>
                <w:sz w:val="20"/>
                <w:szCs w:val="20"/>
                <w:color w:val="auto"/>
              </w:rPr>
            </w:pPr>
            <w:r>
              <w:rPr>
                <w:rFonts w:ascii="Arial" w:cs="Arial" w:eastAsia="Arial" w:hAnsi="Arial"/>
                <w:sz w:val="16"/>
                <w:szCs w:val="16"/>
                <w:b w:val="1"/>
                <w:bCs w:val="1"/>
                <w:color w:val="auto"/>
                <w:w w:val="95"/>
              </w:rPr>
              <w:t>COL. D</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center"/>
              <w:ind w:right="77"/>
              <w:spacing w:after="0"/>
              <w:rPr>
                <w:sz w:val="20"/>
                <w:szCs w:val="20"/>
                <w:color w:val="auto"/>
              </w:rPr>
            </w:pPr>
            <w:r>
              <w:rPr>
                <w:rFonts w:ascii="Arial" w:cs="Arial" w:eastAsia="Arial" w:hAnsi="Arial"/>
                <w:sz w:val="16"/>
                <w:szCs w:val="16"/>
                <w:b w:val="1"/>
                <w:bCs w:val="1"/>
                <w:color w:val="auto"/>
                <w:w w:val="97"/>
              </w:rPr>
              <w:t>COL. E</w:t>
            </w:r>
          </w:p>
        </w:tc>
        <w:tc>
          <w:tcPr>
            <w:tcW w:w="0" w:type="dxa"/>
            <w:vAlign w:val="bottom"/>
          </w:tcPr>
          <w:p>
            <w:pPr>
              <w:spacing w:after="0"/>
              <w:rPr>
                <w:sz w:val="1"/>
                <w:szCs w:val="1"/>
                <w:color w:val="auto"/>
              </w:rPr>
            </w:pPr>
          </w:p>
        </w:tc>
      </w:tr>
      <w:tr>
        <w:trPr>
          <w:trHeight w:val="207"/>
        </w:trPr>
        <w:tc>
          <w:tcPr>
            <w:tcW w:w="4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3"/>
          </w:tcPr>
          <w:p>
            <w:pPr>
              <w:jc w:val="center"/>
              <w:ind w:left="18"/>
              <w:spacing w:after="0"/>
              <w:rPr>
                <w:sz w:val="20"/>
                <w:szCs w:val="20"/>
                <w:color w:val="auto"/>
              </w:rPr>
            </w:pPr>
            <w:r>
              <w:rPr>
                <w:rFonts w:ascii="Arial" w:cs="Arial" w:eastAsia="Arial" w:hAnsi="Arial"/>
                <w:sz w:val="16"/>
                <w:szCs w:val="16"/>
                <w:b w:val="1"/>
                <w:bCs w:val="1"/>
                <w:color w:val="auto"/>
              </w:rPr>
              <w:t>ADDITIONS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57"/>
              <w:spacing w:after="0" w:line="131" w:lineRule="exact"/>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89"/>
              </w:rPr>
              <w:t>Charged to</w:t>
            </w:r>
          </w:p>
        </w:tc>
        <w:tc>
          <w:tcPr>
            <w:tcW w:w="110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b w:val="1"/>
                <w:bCs w:val="1"/>
                <w:color w:val="auto"/>
                <w:w w:val="92"/>
              </w:rPr>
              <w:t>Charged to Other</w:t>
            </w:r>
          </w:p>
        </w:tc>
        <w:tc>
          <w:tcPr>
            <w:tcW w:w="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center"/>
              <w:ind w:right="56"/>
              <w:spacing w:after="0"/>
              <w:rPr>
                <w:sz w:val="20"/>
                <w:szCs w:val="20"/>
                <w:color w:val="auto"/>
              </w:rPr>
            </w:pPr>
            <w:r>
              <w:rPr>
                <w:rFonts w:ascii="Arial" w:cs="Arial" w:eastAsia="Arial" w:hAnsi="Arial"/>
                <w:sz w:val="14"/>
                <w:szCs w:val="14"/>
                <w:b w:val="1"/>
                <w:bCs w:val="1"/>
                <w:color w:val="auto"/>
                <w:w w:val="88"/>
              </w:rPr>
              <w:t>Deductions—</w:t>
            </w:r>
          </w:p>
        </w:tc>
        <w:tc>
          <w:tcPr>
            <w:tcW w:w="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97"/>
              <w:spacing w:after="0" w:line="131"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1"/>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Beginning of</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5"/>
              </w:rPr>
              <w:t>Costs and</w:t>
            </w:r>
          </w:p>
        </w:tc>
        <w:tc>
          <w:tcPr>
            <w:tcW w:w="1540" w:type="dxa"/>
            <w:vAlign w:val="bottom"/>
            <w:gridSpan w:val="3"/>
          </w:tcPr>
          <w:p>
            <w:pPr>
              <w:jc w:val="center"/>
              <w:ind w:right="440"/>
              <w:spacing w:after="0" w:line="141" w:lineRule="exact"/>
              <w:rPr>
                <w:sz w:val="20"/>
                <w:szCs w:val="20"/>
                <w:color w:val="auto"/>
              </w:rPr>
            </w:pPr>
            <w:r>
              <w:rPr>
                <w:rFonts w:ascii="Arial" w:cs="Arial" w:eastAsia="Arial" w:hAnsi="Arial"/>
                <w:sz w:val="14"/>
                <w:szCs w:val="14"/>
                <w:b w:val="1"/>
                <w:bCs w:val="1"/>
                <w:color w:val="auto"/>
                <w:w w:val="89"/>
              </w:rPr>
              <w:t>Accounts—</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7"/>
              <w:spacing w:after="0" w:line="141"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1"/>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Expenses</w:t>
            </w:r>
          </w:p>
        </w:tc>
        <w:tc>
          <w:tcPr>
            <w:tcW w:w="840" w:type="dxa"/>
            <w:vAlign w:val="bottom"/>
          </w:tcPr>
          <w:p>
            <w:pPr>
              <w:jc w:val="center"/>
              <w:ind w:left="203"/>
              <w:spacing w:after="0"/>
              <w:rPr>
                <w:sz w:val="20"/>
                <w:szCs w:val="20"/>
                <w:color w:val="auto"/>
              </w:rPr>
            </w:pPr>
            <w:r>
              <w:rPr>
                <w:rFonts w:ascii="Arial" w:cs="Arial" w:eastAsia="Arial" w:hAnsi="Arial"/>
                <w:sz w:val="14"/>
                <w:szCs w:val="14"/>
                <w:b w:val="1"/>
                <w:bCs w:val="1"/>
                <w:color w:val="auto"/>
                <w:w w:val="87"/>
              </w:rPr>
              <w:t>Describe</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Describe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08"/>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2022</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Deducted from asset accounts: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Allowance for doubtful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Valuation reserve for deferred tax assets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17,943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w:t>
            </w:r>
          </w:p>
        </w:tc>
        <w:tc>
          <w:tcPr>
            <w:tcW w:w="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28,615</w:t>
            </w:r>
          </w:p>
        </w:tc>
        <w:tc>
          <w:tcPr>
            <w:tcW w:w="0" w:type="dxa"/>
            <w:vAlign w:val="bottom"/>
          </w:tcPr>
          <w:p>
            <w:pPr>
              <w:spacing w:after="0"/>
              <w:rPr>
                <w:sz w:val="1"/>
                <w:szCs w:val="1"/>
                <w:color w:val="auto"/>
              </w:rPr>
            </w:pPr>
          </w:p>
        </w:tc>
      </w:tr>
      <w:tr>
        <w:trPr>
          <w:trHeight w:val="236"/>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Fiscal Year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Deducted from asset accounts: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340"/>
              <w:spacing w:after="0"/>
              <w:rPr>
                <w:sz w:val="20"/>
                <w:szCs w:val="20"/>
                <w:color w:val="auto"/>
              </w:rPr>
            </w:pPr>
            <w:r>
              <w:rPr>
                <w:rFonts w:ascii="Arial" w:cs="Arial" w:eastAsia="Arial" w:hAnsi="Arial"/>
                <w:sz w:val="17"/>
                <w:szCs w:val="17"/>
                <w:color w:val="auto"/>
              </w:rPr>
              <w:t>Allowance for doubtful accounts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w:t>
            </w:r>
          </w:p>
        </w:tc>
        <w:tc>
          <w:tcPr>
            <w:tcW w:w="540" w:type="dxa"/>
            <w:vAlign w:val="bottom"/>
          </w:tcPr>
          <w:p>
            <w:pPr>
              <w:spacing w:after="0"/>
              <w:rPr>
                <w:sz w:val="20"/>
                <w:szCs w:val="20"/>
                <w:color w:val="auto"/>
              </w:rPr>
            </w:pPr>
            <w:r>
              <w:rPr>
                <w:rFonts w:ascii="Arial" w:cs="Arial" w:eastAsia="Arial" w:hAnsi="Arial"/>
                <w:sz w:val="17"/>
                <w:szCs w:val="17"/>
                <w:color w:val="auto"/>
              </w:rPr>
              <w:t>(C)</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Valuation reserve for deferred tax assets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11,104</w:t>
            </w:r>
          </w:p>
        </w:tc>
        <w:tc>
          <w:tcPr>
            <w:tcW w:w="0" w:type="dxa"/>
            <w:vAlign w:val="bottom"/>
          </w:tcPr>
          <w:p>
            <w:pPr>
              <w:spacing w:after="0"/>
              <w:rPr>
                <w:sz w:val="1"/>
                <w:szCs w:val="1"/>
                <w:color w:val="auto"/>
              </w:rPr>
            </w:pPr>
          </w:p>
        </w:tc>
      </w:tr>
      <w:tr>
        <w:trPr>
          <w:trHeight w:val="216"/>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2,882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12,002</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Fiscal Year 2020</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Deducted from asset accounts: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Allowance for doubtful accounts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Valuation reserve for deferred tax assets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7,763</w:t>
            </w:r>
          </w:p>
        </w:tc>
        <w:tc>
          <w:tcPr>
            <w:tcW w:w="0" w:type="dxa"/>
            <w:vAlign w:val="bottom"/>
          </w:tcPr>
          <w:p>
            <w:pPr>
              <w:spacing w:after="0"/>
              <w:rPr>
                <w:sz w:val="1"/>
                <w:szCs w:val="1"/>
                <w:color w:val="auto"/>
              </w:rPr>
            </w:pPr>
          </w:p>
        </w:tc>
      </w:tr>
      <w:tr>
        <w:trPr>
          <w:trHeight w:val="236"/>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7994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 w:hanging="319"/>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Relates to the write off of a $0.3 million account receivable that was fully reserved in a prior period.</w:t>
      </w:r>
    </w:p>
    <w:p>
      <w:pPr>
        <w:spacing w:after="0" w:line="17" w:lineRule="exact"/>
        <w:rPr>
          <w:rFonts w:ascii="Arial" w:cs="Arial" w:eastAsia="Arial" w:hAnsi="Arial"/>
          <w:sz w:val="14"/>
          <w:szCs w:val="14"/>
          <w:color w:val="auto"/>
        </w:rPr>
      </w:pPr>
    </w:p>
    <w:p>
      <w:pPr>
        <w:ind w:left="540" w:hanging="299"/>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Relates to foreign currency translation for the portion of the valuation allowance on net operating loss and tax credit carryforwards in foreign jurisdictions.</w:t>
      </w:r>
    </w:p>
    <w:p>
      <w:pPr>
        <w:spacing w:after="0" w:line="9" w:lineRule="exact"/>
        <w:rPr>
          <w:rFonts w:ascii="Arial" w:cs="Arial" w:eastAsia="Arial" w:hAnsi="Arial"/>
          <w:sz w:val="14"/>
          <w:szCs w:val="14"/>
          <w:color w:val="auto"/>
        </w:rPr>
      </w:pPr>
    </w:p>
    <w:p>
      <w:pPr>
        <w:ind w:left="540" w:hanging="299"/>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Primarily relates to a $0.1 million reserve that was recognized as a credit loss and ultimately written off within fiscal 2021.</w:t>
      </w:r>
    </w:p>
    <w:p>
      <w:pPr>
        <w:spacing w:after="0" w:line="9" w:lineRule="exact"/>
        <w:rPr>
          <w:rFonts w:ascii="Arial" w:cs="Arial" w:eastAsia="Arial" w:hAnsi="Arial"/>
          <w:sz w:val="14"/>
          <w:szCs w:val="14"/>
          <w:color w:val="auto"/>
        </w:rPr>
      </w:pPr>
    </w:p>
    <w:p>
      <w:pPr>
        <w:ind w:left="560" w:right="140" w:hanging="319"/>
        <w:spacing w:after="0" w:line="247" w:lineRule="auto"/>
        <w:tabs>
          <w:tab w:leader="none" w:pos="557"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Relates to $1.1 million of foreign currency translation for the portion of the valuation allowance on net operating loss and tax credit carryforwards in foreign jurisdictions, partially offset by $0.6 million of fully reserved tax credits that expired in fiscal 2021.</w:t>
      </w:r>
    </w:p>
    <w:p>
      <w:pPr>
        <w:ind w:left="560" w:right="60" w:hanging="319"/>
        <w:spacing w:after="0" w:line="262" w:lineRule="auto"/>
        <w:tabs>
          <w:tab w:leader="none" w:pos="555"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Primarily relates to a $0.6 million reserve that was recognized as a credit loss and ultimately settled and written off within fiscal 2020 and $0.3 million of payments received on a balance that was fully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82" w:name="page83"/>
    <w:bookmarkEnd w:id="82"/>
    <w:p>
      <w:pPr>
        <w:ind w:right="4020"/>
        <w:spacing w:after="0" w:line="490"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2022. Based on the foregoing, our Chief Executive Officer and Chief Financial Officer concluded that our disclosure controls and procedures were effective at the reasonable assurance level at June 30, 2022.</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September 12, 2022, we filed a form 12b-25 with the SEC to notify the Commission that we were not in a position to file this Form 10-K in a timely manner without unreasonable effort or expense for reasons described below. In the course of preparing our financial statements, we discovered that employee support and oversight time for a certain project was allocated to our general overhead expense category rather than to the specific project to which it should have been allocated. We conducted an internal review and determined the amount of misallocated time was immaterial. As a result of this issue, our Audit Committee engaged third-party advisors to conduct a review of the Company’s internal control over financial reporting and findings of the investigation. The review confirmed our internal conclusion that the misallocated time was immaterial and the review supported management’s conclusion that no material weakness in our internal control over financial reporting exists and that our internal control over financial reporting was effective at a reasonable assurance level at June 30, 2022.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See “Management’s Report on Internal Control over Financial Reporting” set forth in Item 8, Financial Statements and Supplementary Data of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There have been no changes during the fourth quarter of fiscal 2022 that materially affected, or are reasonably likely to materially affect, our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PART III</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information required by this item with respect to our directors and corporate governance is incorporated herein by reference to the sections entitled “Proposal Number 1: Election of Directors” and “Corporate Governance and Board Matters” in our definitive Proxy Statement for the 2022 Annual Meeting of Stockholders (“Proxy Statement”). The information required by this item with respect to our executive officers is incorporated herein by reference to the section entitled “Executive Officer Information” in the Proxy Statement.</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have adopted a Code of Business Conduct and Ethics applicable to all our directors, officers and employees, including the principal executive officer, principal financial officer and principal accounting officer.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our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“Director Compensation,” "Compensation Discussion and Analysis" and “Executive Officer Compensation” in the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section entitled "Corporate Governance and Board Matters" and “Certain Relationships and Related Transactions” in the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(1) Financial Statements of the Company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financial statements and supplementary data are filed as a part of this report under “Item 8—Financial Statements and Supplementary Data” in this Annual Report on Form 10-K:</w:t>
      </w: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1000" w:type="dxa"/>
            <w:vAlign w:val="bottom"/>
            <w:gridSpan w:val="11"/>
          </w:tcPr>
          <w:p>
            <w:pPr>
              <w:spacing w:after="0"/>
              <w:rPr>
                <w:sz w:val="20"/>
                <w:szCs w:val="20"/>
                <w:color w:val="auto"/>
              </w:rPr>
            </w:pPr>
            <w:r>
              <w:rPr>
                <w:rFonts w:ascii="Arial" w:cs="Arial" w:eastAsia="Arial" w:hAnsi="Arial"/>
                <w:sz w:val="17"/>
                <w:szCs w:val="17"/>
                <w:color w:val="auto"/>
              </w:rPr>
              <w:t>Financial Statements of the Company</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47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3"/>
              </w:rPr>
              <w:t>Management’s Report on Internal Control Over Financial Reporting</w:t>
            </w:r>
          </w:p>
        </w:tc>
        <w:tc>
          <w:tcPr>
            <w:tcW w:w="5920" w:type="dxa"/>
            <w:vAlign w:val="bottom"/>
            <w:gridSpan w:val="6"/>
          </w:tcPr>
          <w:p>
            <w:pPr>
              <w:spacing w:after="0"/>
              <w:rPr>
                <w:sz w:val="20"/>
                <w:szCs w:val="20"/>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73"/>
              </w:rPr>
              <w:t>43</w:t>
            </w: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59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4"/>
              </w:rPr>
              <w:t>Reports of Independent Registered Public Accounting Firm (Deloitte &amp; Touche LLP)</w:t>
            </w:r>
          </w:p>
        </w:tc>
        <w:tc>
          <w:tcPr>
            <w:tcW w:w="4700" w:type="dxa"/>
            <w:vAlign w:val="bottom"/>
            <w:gridSpan w:val="5"/>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73"/>
              </w:rPr>
              <w:t>44</w:t>
            </w: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77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1"/>
              </w:rPr>
              <w:t>Consolidated Statements of Income for the Fiscal Years Ended June 30, 2022, June 30, 2021 and June 30, 2020</w:t>
            </w:r>
          </w:p>
        </w:tc>
        <w:tc>
          <w:tcPr>
            <w:tcW w:w="2900" w:type="dxa"/>
            <w:vAlign w:val="bottom"/>
            <w:gridSpan w:val="4"/>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73"/>
              </w:rPr>
              <w:t>48</w:t>
            </w: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89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1"/>
              </w:rPr>
              <w:t>Consolidated Statements of Comprehensive Income for the Fiscal Years Ended June 30, 2022, June 30, 2021 and June 30, 2020</w:t>
            </w:r>
          </w:p>
        </w:tc>
        <w:tc>
          <w:tcPr>
            <w:tcW w:w="1760" w:type="dxa"/>
            <w:vAlign w:val="bottom"/>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73"/>
              </w:rPr>
              <w:t>49</w:t>
            </w: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47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0"/>
              </w:rPr>
              <w:t>Consolidated Balance Sheets as of June 30, 2022 and June 30, 2021</w:t>
            </w:r>
          </w:p>
        </w:tc>
        <w:tc>
          <w:tcPr>
            <w:tcW w:w="5940" w:type="dxa"/>
            <w:vAlign w:val="bottom"/>
            <w:gridSpan w:val="7"/>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73"/>
              </w:rPr>
              <w:t>50</w:t>
            </w: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808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Consolidated Statements of Cash Flows for the Fiscal Years Ended June 30, 2022, June 30, 2021 and June 30, 2020</w:t>
            </w:r>
          </w:p>
        </w:tc>
        <w:tc>
          <w:tcPr>
            <w:tcW w:w="2600" w:type="dxa"/>
            <w:vAlign w:val="bottom"/>
            <w:gridSpan w:val="3"/>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73"/>
              </w:rPr>
              <w:t>52</w:t>
            </w: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10680" w:type="dxa"/>
            <w:vAlign w:val="bottom"/>
            <w:gridSpan w:val="10"/>
          </w:tcPr>
          <w:p>
            <w:pPr>
              <w:spacing w:after="0"/>
              <w:rPr>
                <w:sz w:val="20"/>
                <w:szCs w:val="20"/>
                <w:color w:val="auto"/>
              </w:rPr>
            </w:pPr>
            <w:r>
              <w:rPr>
                <w:rFonts w:ascii="Arial" w:cs="Arial" w:eastAsia="Arial" w:hAnsi="Arial"/>
                <w:sz w:val="17"/>
                <w:szCs w:val="17"/>
                <w:color w:val="0000FF"/>
              </w:rPr>
              <w:t>Consolidated Statements of Changes in Stockholders’ Equity for the Fiscal Years Ended June 30, 2022, June 30, 2021 and</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0000FF"/>
                <w:w w:val="73"/>
              </w:rPr>
              <w:t>54</w:t>
            </w: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980" w:type="dxa"/>
            <w:vAlign w:val="bottom"/>
            <w:tcBorders>
              <w:top w:val="single" w:sz="8" w:color="0000FF"/>
              <w:bottom w:val="single" w:sz="8" w:color="0000FF"/>
            </w:tcBorders>
          </w:tcPr>
          <w:p>
            <w:pPr>
              <w:spacing w:after="0" w:line="138" w:lineRule="exact"/>
              <w:rPr>
                <w:sz w:val="20"/>
                <w:szCs w:val="20"/>
                <w:color w:val="auto"/>
              </w:rPr>
            </w:pPr>
            <w:r>
              <w:rPr>
                <w:rFonts w:ascii="Arial" w:cs="Arial" w:eastAsia="Arial" w:hAnsi="Arial"/>
                <w:sz w:val="15"/>
                <w:szCs w:val="15"/>
                <w:color w:val="0000FF"/>
              </w:rPr>
              <w:t>June 30, 2020</w:t>
            </w:r>
          </w:p>
        </w:tc>
        <w:tc>
          <w:tcPr>
            <w:tcW w:w="2140" w:type="dxa"/>
            <w:vAlign w:val="bottom"/>
            <w:tcBorders>
              <w:top w:val="single" w:sz="8" w:color="0000FF"/>
              <w:bottom w:val="single" w:sz="8" w:color="0000FF"/>
            </w:tcBorders>
          </w:tcPr>
          <w:p>
            <w:pPr>
              <w:spacing w:after="0"/>
              <w:rPr>
                <w:sz w:val="13"/>
                <w:szCs w:val="13"/>
                <w:color w:val="auto"/>
              </w:rPr>
            </w:pPr>
          </w:p>
        </w:tc>
        <w:tc>
          <w:tcPr>
            <w:tcW w:w="5420" w:type="dxa"/>
            <w:vAlign w:val="bottom"/>
            <w:tcBorders>
              <w:top w:val="single" w:sz="8" w:color="0000FF"/>
            </w:tcBorders>
            <w:gridSpan w:val="6"/>
          </w:tcPr>
          <w:p>
            <w:pPr>
              <w:spacing w:after="0"/>
              <w:rPr>
                <w:sz w:val="13"/>
                <w:szCs w:val="13"/>
                <w:color w:val="auto"/>
              </w:rPr>
            </w:pPr>
          </w:p>
        </w:tc>
        <w:tc>
          <w:tcPr>
            <w:tcW w:w="2140" w:type="dxa"/>
            <w:vAlign w:val="bottom"/>
            <w:gridSpan w:val="2"/>
          </w:tcPr>
          <w:p>
            <w:pPr>
              <w:spacing w:after="0"/>
              <w:rPr>
                <w:sz w:val="13"/>
                <w:szCs w:val="13"/>
                <w:color w:val="auto"/>
              </w:rPr>
            </w:pPr>
          </w:p>
        </w:tc>
        <w:tc>
          <w:tcPr>
            <w:tcW w:w="16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320" w:type="dxa"/>
            <w:vAlign w:val="bottom"/>
          </w:tcPr>
          <w:p>
            <w:pPr>
              <w:spacing w:after="0"/>
              <w:rPr>
                <w:sz w:val="22"/>
                <w:szCs w:val="22"/>
                <w:color w:val="auto"/>
              </w:rPr>
            </w:pPr>
          </w:p>
        </w:tc>
        <w:tc>
          <w:tcPr>
            <w:tcW w:w="31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3"/>
              </w:rPr>
              <w:t>Notes to Consolidated Financial Statements</w:t>
            </w:r>
          </w:p>
        </w:tc>
        <w:tc>
          <w:tcPr>
            <w:tcW w:w="7560" w:type="dxa"/>
            <w:vAlign w:val="bottom"/>
            <w:gridSpan w:val="8"/>
          </w:tcPr>
          <w:p>
            <w:pPr>
              <w:spacing w:after="0"/>
              <w:rPr>
                <w:sz w:val="22"/>
                <w:szCs w:val="22"/>
                <w:color w:val="auto"/>
              </w:rPr>
            </w:pPr>
          </w:p>
        </w:tc>
        <w:tc>
          <w:tcPr>
            <w:tcW w:w="16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73"/>
              </w:rPr>
              <w:t>55</w:t>
            </w:r>
          </w:p>
        </w:tc>
        <w:tc>
          <w:tcPr>
            <w:tcW w:w="0" w:type="dxa"/>
            <w:vAlign w:val="bottom"/>
          </w:tcPr>
          <w:p>
            <w:pPr>
              <w:spacing w:after="0"/>
              <w:rPr>
                <w:sz w:val="1"/>
                <w:szCs w:val="1"/>
                <w:color w:val="auto"/>
              </w:rPr>
            </w:pPr>
          </w:p>
        </w:tc>
      </w:tr>
      <w:tr>
        <w:trPr>
          <w:trHeight w:val="255"/>
        </w:trPr>
        <w:tc>
          <w:tcPr>
            <w:tcW w:w="11000" w:type="dxa"/>
            <w:vAlign w:val="bottom"/>
            <w:gridSpan w:val="11"/>
          </w:tcPr>
          <w:p>
            <w:pPr>
              <w:spacing w:after="0"/>
              <w:rPr>
                <w:sz w:val="20"/>
                <w:szCs w:val="20"/>
                <w:color w:val="auto"/>
              </w:rPr>
            </w:pPr>
            <w:r>
              <w:rPr>
                <w:rFonts w:ascii="Arial" w:cs="Arial" w:eastAsia="Arial" w:hAnsi="Arial"/>
                <w:sz w:val="17"/>
                <w:szCs w:val="17"/>
                <w:color w:val="0000FF"/>
              </w:rPr>
              <w:t>Schedule II—Valuation and Qualifying Accounts</w:t>
            </w:r>
          </w:p>
        </w:tc>
        <w:tc>
          <w:tcPr>
            <w:tcW w:w="160" w:type="dxa"/>
            <w:vAlign w:val="bottom"/>
          </w:tcPr>
          <w:p>
            <w:pPr>
              <w:jc w:val="right"/>
              <w:spacing w:after="0"/>
              <w:rPr>
                <w:sz w:val="20"/>
                <w:szCs w:val="20"/>
                <w:color w:val="auto"/>
              </w:rPr>
            </w:pPr>
            <w:r>
              <w:rPr>
                <w:rFonts w:ascii="Arial" w:cs="Arial" w:eastAsia="Arial" w:hAnsi="Arial"/>
                <w:sz w:val="17"/>
                <w:szCs w:val="17"/>
                <w:color w:val="0000FF"/>
                <w:w w:val="73"/>
              </w:rPr>
              <w:t>81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financial statement schedule is filed as a part of this report under Schedule II—Valuation and Qualifying Accounts June 30, 2022, June 30, 2021 and June 30, 2020, immediately following Notes to Consolidated Financial Statements.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85" w:name="page86"/>
    <w:bookmarkEnd w:id="85"/>
    <w:p>
      <w:pPr>
        <w:ind w:right="220" w:firstLine="162"/>
        <w:spacing w:after="0" w:line="297" w:lineRule="auto"/>
        <w:tabs>
          <w:tab w:leader="none" w:pos="405"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The following documents are included as exhibits to this Annual Report on Form 10-K. The exhibits below incorporated by reference herein are indicated as such by the information supplied in the parenthetical hereafter.</w:t>
      </w:r>
    </w:p>
    <w:p>
      <w:pPr>
        <w:spacing w:after="0" w:line="75" w:lineRule="exact"/>
        <w:rPr>
          <w:sz w:val="20"/>
          <w:szCs w:val="20"/>
          <w:color w:val="auto"/>
        </w:rPr>
      </w:pPr>
    </w:p>
    <w:p>
      <w:pPr>
        <w:ind w:left="960"/>
        <w:spacing w:after="0"/>
        <w:tabs>
          <w:tab w:leader="none" w:pos="1360" w:val="left"/>
        </w:tabs>
        <w:rPr>
          <w:rFonts w:ascii="Arial" w:cs="Arial" w:eastAsia="Arial" w:hAnsi="Arial"/>
          <w:sz w:val="16"/>
          <w:szCs w:val="16"/>
          <w:u w:val="single" w:color="auto"/>
          <w:color w:val="0000FF"/>
        </w:rPr>
      </w:pPr>
      <w:r>
        <w:rPr>
          <w:rFonts w:ascii="Arial" w:cs="Arial" w:eastAsia="Arial" w:hAnsi="Arial"/>
          <w:sz w:val="17"/>
          <w:szCs w:val="17"/>
          <w:color w:val="auto"/>
        </w:rPr>
        <w:t>3.1</w:t>
      </w:r>
      <w:r>
        <w:rPr>
          <w:sz w:val="20"/>
          <w:szCs w:val="20"/>
          <w:color w:val="auto"/>
        </w:rPr>
        <w:tab/>
      </w:r>
      <w:hyperlink r:id="rId140">
        <w:r>
          <w:rPr>
            <w:rFonts w:ascii="Arial" w:cs="Arial" w:eastAsia="Arial" w:hAnsi="Arial"/>
            <w:sz w:val="16"/>
            <w:szCs w:val="16"/>
            <w:u w:val="single" w:color="auto"/>
            <w:color w:val="0000FF"/>
          </w:rPr>
          <w:t>Amended and Restated Certificate of Incorporation of Matrix Service Company (Appendix A to the Company's Proxy Statement filed October</w:t>
        </w:r>
      </w:hyperlink>
    </w:p>
    <w:p>
      <w:pPr>
        <w:ind w:left="1380"/>
        <w:spacing w:after="0"/>
        <w:rPr>
          <w:rFonts w:ascii="Arial" w:cs="Arial" w:eastAsia="Arial" w:hAnsi="Arial"/>
          <w:sz w:val="17"/>
          <w:szCs w:val="17"/>
          <w:color w:val="0000FF"/>
        </w:rPr>
      </w:pPr>
      <w:hyperlink r:id="rId140">
        <w:r>
          <w:rPr>
            <w:rFonts w:ascii="Arial" w:cs="Arial" w:eastAsia="Arial" w:hAnsi="Arial"/>
            <w:sz w:val="17"/>
            <w:szCs w:val="17"/>
            <w:u w:val="single" w:color="auto"/>
            <w:color w:val="0000FF"/>
          </w:rPr>
          <w:t>7, 2016</w:t>
        </w:r>
        <w:r>
          <w:rPr>
            <w:rFonts w:ascii="Arial" w:cs="Arial" w:eastAsia="Arial" w:hAnsi="Arial"/>
            <w:sz w:val="17"/>
            <w:szCs w:val="17"/>
            <w:color w:val="000000"/>
          </w:rPr>
          <w:t>.</w:t>
        </w:r>
      </w:hyperlink>
    </w:p>
    <w:p>
      <w:pPr>
        <w:spacing w:after="0" w:line="68" w:lineRule="exact"/>
        <w:rPr>
          <w:sz w:val="20"/>
          <w:szCs w:val="20"/>
          <w:color w:val="auto"/>
        </w:rPr>
      </w:pPr>
    </w:p>
    <w:p>
      <w:pPr>
        <w:ind w:left="960"/>
        <w:spacing w:after="0"/>
        <w:tabs>
          <w:tab w:leader="none" w:pos="1360" w:val="left"/>
        </w:tabs>
        <w:rPr>
          <w:rFonts w:ascii="Arial" w:cs="Arial" w:eastAsia="Arial" w:hAnsi="Arial"/>
          <w:sz w:val="15"/>
          <w:szCs w:val="15"/>
          <w:u w:val="single" w:color="auto"/>
          <w:color w:val="0000FF"/>
        </w:rPr>
      </w:pPr>
      <w:r>
        <w:rPr>
          <w:rFonts w:ascii="Arial" w:cs="Arial" w:eastAsia="Arial" w:hAnsi="Arial"/>
          <w:sz w:val="17"/>
          <w:szCs w:val="17"/>
          <w:color w:val="auto"/>
        </w:rPr>
        <w:t>3.2</w:t>
      </w:r>
      <w:r>
        <w:rPr>
          <w:sz w:val="20"/>
          <w:szCs w:val="20"/>
          <w:color w:val="auto"/>
        </w:rPr>
        <w:tab/>
      </w:r>
      <w:hyperlink r:id="rId141">
        <w:r>
          <w:rPr>
            <w:rFonts w:ascii="Arial" w:cs="Arial" w:eastAsia="Arial" w:hAnsi="Arial"/>
            <w:sz w:val="15"/>
            <w:szCs w:val="15"/>
            <w:u w:val="single" w:color="auto"/>
            <w:color w:val="0000FF"/>
          </w:rPr>
          <w:t>Second Amended and Restated Bylaws, effective as of May 4, 2017 (Exhibit 3.1 to the Company’s Quarterly Report on Form 10-Q filed May</w:t>
        </w:r>
      </w:hyperlink>
    </w:p>
    <w:p>
      <w:pPr>
        <w:ind w:left="1380"/>
        <w:spacing w:after="0"/>
        <w:rPr>
          <w:rFonts w:ascii="Arial" w:cs="Arial" w:eastAsia="Arial" w:hAnsi="Arial"/>
          <w:sz w:val="17"/>
          <w:szCs w:val="17"/>
          <w:color w:val="0000FF"/>
        </w:rPr>
      </w:pPr>
      <w:hyperlink r:id="rId141">
        <w:r>
          <w:rPr>
            <w:rFonts w:ascii="Arial" w:cs="Arial" w:eastAsia="Arial" w:hAnsi="Arial"/>
            <w:sz w:val="17"/>
            <w:szCs w:val="17"/>
            <w:u w:val="single" w:color="auto"/>
            <w:color w:val="0000FF"/>
          </w:rPr>
          <w:t>10, 2017)</w:t>
        </w:r>
        <w:r>
          <w:rPr>
            <w:rFonts w:ascii="Arial" w:cs="Arial" w:eastAsia="Arial" w:hAnsi="Arial"/>
            <w:sz w:val="17"/>
            <w:szCs w:val="17"/>
            <w:color w:val="000000"/>
          </w:rPr>
          <w:t>.</w:t>
        </w:r>
      </w:hyperlink>
    </w:p>
    <w:p>
      <w:pPr>
        <w:spacing w:after="0" w:line="79" w:lineRule="exact"/>
        <w:rPr>
          <w:sz w:val="20"/>
          <w:szCs w:val="20"/>
          <w:color w:val="auto"/>
        </w:rPr>
      </w:pPr>
    </w:p>
    <w:p>
      <w:pPr>
        <w:ind w:left="960"/>
        <w:spacing w:after="0"/>
        <w:tabs>
          <w:tab w:leader="none" w:pos="1360" w:val="left"/>
        </w:tabs>
        <w:rPr>
          <w:rFonts w:ascii="Arial" w:cs="Arial" w:eastAsia="Arial" w:hAnsi="Arial"/>
          <w:sz w:val="16"/>
          <w:szCs w:val="16"/>
          <w:u w:val="single" w:color="auto"/>
          <w:color w:val="0000FF"/>
        </w:rPr>
      </w:pPr>
      <w:r>
        <w:rPr>
          <w:rFonts w:ascii="Arial" w:cs="Arial" w:eastAsia="Arial" w:hAnsi="Arial"/>
          <w:sz w:val="17"/>
          <w:szCs w:val="17"/>
          <w:color w:val="auto"/>
        </w:rPr>
        <w:t>4.1</w:t>
      </w:r>
      <w:r>
        <w:rPr>
          <w:sz w:val="20"/>
          <w:szCs w:val="20"/>
          <w:color w:val="auto"/>
        </w:rPr>
        <w:tab/>
      </w:r>
      <w:hyperlink r:id="rId142">
        <w:r>
          <w:rPr>
            <w:rFonts w:ascii="Arial" w:cs="Arial" w:eastAsia="Arial" w:hAnsi="Arial"/>
            <w:sz w:val="16"/>
            <w:szCs w:val="16"/>
            <w:u w:val="single" w:color="auto"/>
            <w:color w:val="0000FF"/>
          </w:rPr>
          <w:t>Description of the Company's Common Stock (Exhibit 4.2 to the Company’s Annual Report on Form 10-K filed September 4, 2019).</w:t>
        </w:r>
      </w:hyperlink>
    </w:p>
    <w:p>
      <w:pPr>
        <w:spacing w:after="0" w:line="80" w:lineRule="exact"/>
        <w:rPr>
          <w:sz w:val="20"/>
          <w:szCs w:val="20"/>
          <w:color w:val="auto"/>
        </w:rPr>
      </w:pPr>
    </w:p>
    <w:p>
      <w:pPr>
        <w:ind w:left="820"/>
        <w:spacing w:after="0"/>
        <w:tabs>
          <w:tab w:leader="none" w:pos="1360" w:val="left"/>
        </w:tabs>
        <w:rPr>
          <w:rFonts w:ascii="Arial" w:cs="Arial" w:eastAsia="Arial" w:hAnsi="Arial"/>
          <w:sz w:val="15"/>
          <w:szCs w:val="15"/>
          <w:u w:val="single" w:color="auto"/>
          <w:color w:val="0000FF"/>
        </w:rPr>
      </w:pPr>
      <w:r>
        <w:rPr>
          <w:rFonts w:ascii="Arial" w:cs="Arial" w:eastAsia="Arial" w:hAnsi="Arial"/>
          <w:sz w:val="17"/>
          <w:szCs w:val="17"/>
          <w:color w:val="auto"/>
        </w:rPr>
        <w:t>+10.1</w:t>
      </w:r>
      <w:r>
        <w:rPr>
          <w:sz w:val="20"/>
          <w:szCs w:val="20"/>
          <w:color w:val="auto"/>
        </w:rPr>
        <w:tab/>
      </w:r>
      <w:hyperlink r:id="rId143">
        <w:r>
          <w:rPr>
            <w:rFonts w:ascii="Arial" w:cs="Arial" w:eastAsia="Arial" w:hAnsi="Arial"/>
            <w:sz w:val="15"/>
            <w:szCs w:val="15"/>
            <w:u w:val="single" w:color="auto"/>
            <w:color w:val="0000FF"/>
          </w:rPr>
          <w:t>Matrix Service Company 2004 Stock Incentive Plan (Appendix B to the Company’s Proxy Statement filed September 15, 2006)</w:t>
        </w:r>
      </w:hyperlink>
      <w:r>
        <w:rPr>
          <w:rFonts w:ascii="Arial" w:cs="Arial" w:eastAsia="Arial" w:hAnsi="Arial"/>
          <w:sz w:val="15"/>
          <w:szCs w:val="15"/>
          <w:color w:val="000000"/>
        </w:rPr>
        <w:t>.</w:t>
      </w:r>
    </w:p>
    <w:p>
      <w:pPr>
        <w:spacing w:after="0" w:line="80" w:lineRule="exact"/>
        <w:rPr>
          <w:sz w:val="20"/>
          <w:szCs w:val="20"/>
          <w:color w:val="auto"/>
        </w:rPr>
      </w:pPr>
    </w:p>
    <w:p>
      <w:pPr>
        <w:ind w:left="820"/>
        <w:spacing w:after="0"/>
        <w:tabs>
          <w:tab w:leader="none" w:pos="1360" w:val="left"/>
        </w:tabs>
        <w:rPr>
          <w:rFonts w:ascii="Arial" w:cs="Arial" w:eastAsia="Arial" w:hAnsi="Arial"/>
          <w:sz w:val="16"/>
          <w:szCs w:val="16"/>
          <w:u w:val="single" w:color="auto"/>
          <w:color w:val="0000FF"/>
        </w:rPr>
      </w:pPr>
      <w:r>
        <w:rPr>
          <w:rFonts w:ascii="Arial" w:cs="Arial" w:eastAsia="Arial" w:hAnsi="Arial"/>
          <w:sz w:val="17"/>
          <w:szCs w:val="17"/>
          <w:color w:val="auto"/>
        </w:rPr>
        <w:t>+10.2</w:t>
      </w:r>
      <w:r>
        <w:rPr>
          <w:sz w:val="20"/>
          <w:szCs w:val="20"/>
          <w:color w:val="auto"/>
        </w:rPr>
        <w:tab/>
      </w:r>
      <w:hyperlink r:id="rId144">
        <w:r>
          <w:rPr>
            <w:rFonts w:ascii="Arial" w:cs="Arial" w:eastAsia="Arial" w:hAnsi="Arial"/>
            <w:sz w:val="16"/>
            <w:szCs w:val="16"/>
            <w:u w:val="single" w:color="auto"/>
            <w:color w:val="0000FF"/>
          </w:rPr>
          <w:t>Amendment 1 to Matrix Service Company 2004 Stock Incentive Plan (Exhibit 10 to Amended Schedule 14A filed October 4, 2006)</w:t>
        </w:r>
      </w:hyperlink>
      <w:r>
        <w:rPr>
          <w:rFonts w:ascii="Arial" w:cs="Arial" w:eastAsia="Arial" w:hAnsi="Arial"/>
          <w:sz w:val="16"/>
          <w:szCs w:val="16"/>
          <w:color w:val="000000"/>
        </w:rPr>
        <w:t>.</w:t>
      </w:r>
    </w:p>
    <w:p>
      <w:pPr>
        <w:spacing w:after="0" w:line="80" w:lineRule="exact"/>
        <w:rPr>
          <w:sz w:val="20"/>
          <w:szCs w:val="20"/>
          <w:color w:val="auto"/>
        </w:rPr>
      </w:pPr>
    </w:p>
    <w:p>
      <w:pPr>
        <w:ind w:left="1380" w:right="380" w:hanging="543"/>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+10.3</w:t>
      </w:r>
      <w:r>
        <w:rPr>
          <w:sz w:val="20"/>
          <w:szCs w:val="20"/>
          <w:color w:val="auto"/>
        </w:rPr>
        <w:tab/>
      </w:r>
      <w:hyperlink r:id="rId145">
        <w:r>
          <w:rPr>
            <w:rFonts w:ascii="Arial" w:cs="Arial" w:eastAsia="Arial" w:hAnsi="Arial"/>
            <w:sz w:val="17"/>
            <w:szCs w:val="17"/>
            <w:u w:val="single" w:color="auto"/>
            <w:color w:val="0000FF"/>
          </w:rPr>
          <w:t>Amendment 2 to Matrix Service Company 2004 Stock Incentive Plan (Exhibit 10.6 to the Company’s Annual Report on Form 10-K filed</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August 5, 2008)</w:t>
        </w:r>
        <w:r>
          <w:rPr>
            <w:rFonts w:ascii="Arial" w:cs="Arial" w:eastAsia="Arial" w:hAnsi="Arial"/>
            <w:sz w:val="17"/>
            <w:szCs w:val="17"/>
            <w:color w:val="000000"/>
          </w:rPr>
          <w:t>.</w:t>
        </w:r>
      </w:hyperlink>
    </w:p>
    <w:p>
      <w:pPr>
        <w:spacing w:after="0" w:line="55" w:lineRule="exact"/>
        <w:rPr>
          <w:sz w:val="20"/>
          <w:szCs w:val="20"/>
          <w:color w:val="auto"/>
        </w:rPr>
      </w:pPr>
    </w:p>
    <w:p>
      <w:pPr>
        <w:ind w:left="820"/>
        <w:spacing w:after="0"/>
        <w:tabs>
          <w:tab w:leader="none" w:pos="1360" w:val="left"/>
        </w:tabs>
        <w:rPr>
          <w:rFonts w:ascii="Arial" w:cs="Arial" w:eastAsia="Arial" w:hAnsi="Arial"/>
          <w:sz w:val="16"/>
          <w:szCs w:val="16"/>
          <w:u w:val="single" w:color="auto"/>
          <w:color w:val="0000FF"/>
        </w:rPr>
      </w:pPr>
      <w:r>
        <w:rPr>
          <w:rFonts w:ascii="Arial" w:cs="Arial" w:eastAsia="Arial" w:hAnsi="Arial"/>
          <w:sz w:val="17"/>
          <w:szCs w:val="17"/>
          <w:color w:val="auto"/>
        </w:rPr>
        <w:t>+10.4</w:t>
      </w:r>
      <w:r>
        <w:rPr>
          <w:sz w:val="20"/>
          <w:szCs w:val="20"/>
          <w:color w:val="auto"/>
        </w:rPr>
        <w:tab/>
      </w:r>
      <w:hyperlink r:id="rId146">
        <w:r>
          <w:rPr>
            <w:rFonts w:ascii="Arial" w:cs="Arial" w:eastAsia="Arial" w:hAnsi="Arial"/>
            <w:sz w:val="16"/>
            <w:szCs w:val="16"/>
            <w:u w:val="single" w:color="auto"/>
            <w:color w:val="0000FF"/>
          </w:rPr>
          <w:t>Amendment 3 to Matrix Service Company 2004 Stock Incentive Plan (Exhibit A to the Company’s Proxy Statement filed September 11,</w:t>
        </w:r>
      </w:hyperlink>
    </w:p>
    <w:p>
      <w:pPr>
        <w:ind w:left="1380"/>
        <w:spacing w:after="0"/>
        <w:rPr>
          <w:rFonts w:ascii="Arial" w:cs="Arial" w:eastAsia="Arial" w:hAnsi="Arial"/>
          <w:sz w:val="17"/>
          <w:szCs w:val="17"/>
          <w:color w:val="0000FF"/>
        </w:rPr>
      </w:pPr>
      <w:hyperlink r:id="rId146">
        <w:r>
          <w:rPr>
            <w:rFonts w:ascii="Arial" w:cs="Arial" w:eastAsia="Arial" w:hAnsi="Arial"/>
            <w:sz w:val="17"/>
            <w:szCs w:val="17"/>
            <w:u w:val="single" w:color="auto"/>
            <w:color w:val="0000FF"/>
          </w:rPr>
          <w:t>2009)</w:t>
        </w:r>
        <w:r>
          <w:rPr>
            <w:rFonts w:ascii="Arial" w:cs="Arial" w:eastAsia="Arial" w:hAnsi="Arial"/>
            <w:sz w:val="17"/>
            <w:szCs w:val="17"/>
            <w:color w:val="000000"/>
          </w:rPr>
          <w:t>.</w:t>
        </w:r>
      </w:hyperlink>
    </w:p>
    <w:p>
      <w:pPr>
        <w:spacing w:after="0" w:line="68" w:lineRule="exact"/>
        <w:rPr>
          <w:sz w:val="20"/>
          <w:szCs w:val="20"/>
          <w:color w:val="auto"/>
        </w:rPr>
      </w:pPr>
    </w:p>
    <w:p>
      <w:pPr>
        <w:ind w:left="820"/>
        <w:spacing w:after="0"/>
        <w:tabs>
          <w:tab w:leader="none" w:pos="1360" w:val="left"/>
        </w:tabs>
        <w:rPr>
          <w:rFonts w:ascii="Arial" w:cs="Arial" w:eastAsia="Arial" w:hAnsi="Arial"/>
          <w:sz w:val="15"/>
          <w:szCs w:val="15"/>
          <w:u w:val="single" w:color="auto"/>
          <w:color w:val="0000FF"/>
        </w:rPr>
      </w:pPr>
      <w:r>
        <w:rPr>
          <w:rFonts w:ascii="Arial" w:cs="Arial" w:eastAsia="Arial" w:hAnsi="Arial"/>
          <w:sz w:val="17"/>
          <w:szCs w:val="17"/>
          <w:color w:val="auto"/>
        </w:rPr>
        <w:t>+10.5</w:t>
      </w:r>
      <w:r>
        <w:rPr>
          <w:sz w:val="20"/>
          <w:szCs w:val="20"/>
          <w:color w:val="auto"/>
        </w:rPr>
        <w:tab/>
      </w:r>
      <w:hyperlink r:id="rId140">
        <w:r>
          <w:rPr>
            <w:rFonts w:ascii="Arial" w:cs="Arial" w:eastAsia="Arial" w:hAnsi="Arial"/>
            <w:sz w:val="15"/>
            <w:szCs w:val="15"/>
            <w:u w:val="single" w:color="auto"/>
            <w:color w:val="0000FF"/>
          </w:rPr>
          <w:t>Matrix Service Company 2016 Stock and Incentive Compensation Plan (Appendix B to the Company's Proxy Statement, filed October 7,</w:t>
        </w:r>
      </w:hyperlink>
    </w:p>
    <w:p>
      <w:pPr>
        <w:ind w:left="1380"/>
        <w:spacing w:after="0"/>
        <w:rPr>
          <w:rFonts w:ascii="Arial" w:cs="Arial" w:eastAsia="Arial" w:hAnsi="Arial"/>
          <w:sz w:val="17"/>
          <w:szCs w:val="17"/>
          <w:color w:val="0000FF"/>
        </w:rPr>
      </w:pPr>
      <w:hyperlink r:id="rId140">
        <w:r>
          <w:rPr>
            <w:rFonts w:ascii="Arial" w:cs="Arial" w:eastAsia="Arial" w:hAnsi="Arial"/>
            <w:sz w:val="17"/>
            <w:szCs w:val="17"/>
            <w:u w:val="single" w:color="auto"/>
            <w:color w:val="0000FF"/>
          </w:rPr>
          <w:t>2016)</w:t>
        </w:r>
        <w:r>
          <w:rPr>
            <w:rFonts w:ascii="Arial" w:cs="Arial" w:eastAsia="Arial" w:hAnsi="Arial"/>
            <w:sz w:val="17"/>
            <w:szCs w:val="17"/>
            <w:color w:val="000000"/>
          </w:rPr>
          <w:t>.</w:t>
        </w:r>
      </w:hyperlink>
    </w:p>
    <w:p>
      <w:pPr>
        <w:spacing w:after="0" w:line="79" w:lineRule="exact"/>
        <w:rPr>
          <w:sz w:val="20"/>
          <w:szCs w:val="20"/>
          <w:color w:val="auto"/>
        </w:rPr>
      </w:pPr>
    </w:p>
    <w:p>
      <w:pPr>
        <w:ind w:left="1380" w:right="20" w:hanging="543"/>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+10.6</w:t>
      </w:r>
      <w:r>
        <w:rPr>
          <w:sz w:val="20"/>
          <w:szCs w:val="20"/>
          <w:color w:val="auto"/>
        </w:rPr>
        <w:tab/>
      </w:r>
      <w:hyperlink r:id="rId147">
        <w:r>
          <w:rPr>
            <w:rFonts w:ascii="Arial" w:cs="Arial" w:eastAsia="Arial" w:hAnsi="Arial"/>
            <w:sz w:val="17"/>
            <w:szCs w:val="17"/>
            <w:u w:val="single" w:color="auto"/>
            <w:color w:val="0000FF"/>
          </w:rPr>
          <w:t>Form of Restricted Stock Unit Award Agreement for Directors (2016 Stock and Incentive Compensation Plan) (Exhibit 10.2 to the Company's</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Quarterly Report on Form 10-Q, filed February 9, 2017)</w:t>
        </w:r>
        <w:r>
          <w:rPr>
            <w:rFonts w:ascii="Arial" w:cs="Arial" w:eastAsia="Arial" w:hAnsi="Arial"/>
            <w:sz w:val="17"/>
            <w:szCs w:val="17"/>
            <w:color w:val="000000"/>
          </w:rPr>
          <w:t>.</w:t>
        </w:r>
      </w:hyperlink>
    </w:p>
    <w:p>
      <w:pPr>
        <w:spacing w:after="0" w:line="66" w:lineRule="exact"/>
        <w:rPr>
          <w:sz w:val="20"/>
          <w:szCs w:val="20"/>
          <w:color w:val="auto"/>
        </w:rPr>
      </w:pPr>
    </w:p>
    <w:p>
      <w:pPr>
        <w:ind w:left="1380" w:right="340" w:hanging="543"/>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+10.7</w:t>
      </w:r>
      <w:r>
        <w:rPr>
          <w:sz w:val="20"/>
          <w:szCs w:val="20"/>
          <w:color w:val="auto"/>
        </w:rPr>
        <w:tab/>
      </w:r>
      <w:hyperlink r:id="rId148">
        <w:r>
          <w:rPr>
            <w:rFonts w:ascii="Arial" w:cs="Arial" w:eastAsia="Arial" w:hAnsi="Arial"/>
            <w:sz w:val="17"/>
            <w:szCs w:val="17"/>
            <w:u w:val="single" w:color="auto"/>
            <w:color w:val="0000FF"/>
          </w:rPr>
          <w:t>Form of Long-Term Incentive Award Agreement (2016 Stock and Incentive Compensation Plan) (Exhibit 10.11 to the Company's Annual</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Report on Form 10-K/A, filed September 19, 2018).</w:t>
        </w:r>
      </w:hyperlink>
    </w:p>
    <w:p>
      <w:pPr>
        <w:spacing w:after="0" w:line="55" w:lineRule="exact"/>
        <w:rPr>
          <w:sz w:val="20"/>
          <w:szCs w:val="20"/>
          <w:color w:val="auto"/>
        </w:rPr>
      </w:pPr>
    </w:p>
    <w:p>
      <w:pPr>
        <w:ind w:left="820"/>
        <w:spacing w:after="0"/>
        <w:tabs>
          <w:tab w:leader="none" w:pos="1360" w:val="left"/>
        </w:tabs>
        <w:rPr>
          <w:rFonts w:ascii="Arial" w:cs="Arial" w:eastAsia="Arial" w:hAnsi="Arial"/>
          <w:sz w:val="15"/>
          <w:szCs w:val="15"/>
          <w:u w:val="single" w:color="auto"/>
          <w:color w:val="0000FF"/>
        </w:rPr>
      </w:pPr>
      <w:r>
        <w:rPr>
          <w:rFonts w:ascii="Arial" w:cs="Arial" w:eastAsia="Arial" w:hAnsi="Arial"/>
          <w:sz w:val="17"/>
          <w:szCs w:val="17"/>
          <w:color w:val="auto"/>
        </w:rPr>
        <w:t>+10.8</w:t>
      </w:r>
      <w:r>
        <w:rPr>
          <w:sz w:val="20"/>
          <w:szCs w:val="20"/>
          <w:color w:val="auto"/>
        </w:rPr>
        <w:tab/>
      </w:r>
      <w:hyperlink r:id="rId149">
        <w:r>
          <w:rPr>
            <w:rFonts w:ascii="Arial" w:cs="Arial" w:eastAsia="Arial" w:hAnsi="Arial"/>
            <w:sz w:val="15"/>
            <w:szCs w:val="15"/>
            <w:u w:val="single" w:color="auto"/>
            <w:color w:val="0000FF"/>
          </w:rPr>
          <w:t>Matrix Service Company 2018 Stock and Incentive Compensation Plan (Appendix A to the Company's Proxy Statement, filed September 21,</w:t>
        </w:r>
      </w:hyperlink>
    </w:p>
    <w:p>
      <w:pPr>
        <w:ind w:left="1380"/>
        <w:spacing w:after="0"/>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2018).</w:t>
        </w:r>
      </w:hyperlink>
    </w:p>
    <w:p>
      <w:pPr>
        <w:spacing w:after="0" w:line="79" w:lineRule="exact"/>
        <w:rPr>
          <w:sz w:val="20"/>
          <w:szCs w:val="20"/>
          <w:color w:val="auto"/>
        </w:rPr>
      </w:pPr>
    </w:p>
    <w:p>
      <w:pPr>
        <w:ind w:left="1380" w:right="140" w:hanging="543"/>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+10.9</w:t>
      </w:r>
      <w:r>
        <w:rPr>
          <w:sz w:val="20"/>
          <w:szCs w:val="20"/>
          <w:color w:val="auto"/>
        </w:rPr>
        <w:tab/>
      </w:r>
      <w:hyperlink r:id="rId150">
        <w:r>
          <w:rPr>
            <w:rFonts w:ascii="Arial" w:cs="Arial" w:eastAsia="Arial" w:hAnsi="Arial"/>
            <w:sz w:val="17"/>
            <w:szCs w:val="17"/>
            <w:u w:val="single" w:color="auto"/>
            <w:color w:val="0000FF"/>
          </w:rPr>
          <w:t>Form of Restricted Stock Unit Award Agreement for Directors (2018 Stock and Incentive Compensation Plan) (Exhibit 10 to the Company's</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Quarterly Report on Form 10-Q, filed November 8, 2018).</w:t>
        </w:r>
      </w:hyperlink>
    </w:p>
    <w:p>
      <w:pPr>
        <w:spacing w:after="0" w:line="66" w:lineRule="exact"/>
        <w:rPr>
          <w:sz w:val="20"/>
          <w:szCs w:val="20"/>
          <w:color w:val="auto"/>
        </w:rPr>
      </w:pPr>
    </w:p>
    <w:p>
      <w:pPr>
        <w:ind w:left="1380" w:right="300" w:hanging="630"/>
        <w:spacing w:after="0" w:line="273"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+10.10</w:t>
      </w:r>
      <w:r>
        <w:rPr>
          <w:sz w:val="20"/>
          <w:szCs w:val="20"/>
          <w:color w:val="auto"/>
        </w:rPr>
        <w:tab/>
      </w:r>
      <w:hyperlink r:id="rId151">
        <w:r>
          <w:rPr>
            <w:rFonts w:ascii="Arial" w:cs="Arial" w:eastAsia="Arial" w:hAnsi="Arial"/>
            <w:sz w:val="17"/>
            <w:szCs w:val="17"/>
            <w:u w:val="single" w:color="auto"/>
            <w:color w:val="0000FF"/>
          </w:rPr>
          <w:t>Form of Restricted Stock Unit Agreement for Employees (2018 Stock and Incentive Compensation Plan) (Exhibit 10.14 to the Company's</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Annual Report on Form 10-K, filed September 3, 2020).</w:t>
        </w:r>
      </w:hyperlink>
    </w:p>
    <w:p>
      <w:pPr>
        <w:spacing w:after="0" w:line="67" w:lineRule="exact"/>
        <w:rPr>
          <w:sz w:val="20"/>
          <w:szCs w:val="20"/>
          <w:color w:val="auto"/>
        </w:rPr>
      </w:pPr>
    </w:p>
    <w:p>
      <w:pPr>
        <w:ind w:left="1380" w:right="320" w:hanging="624"/>
        <w:spacing w:after="0" w:line="273"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+10.11</w:t>
      </w:r>
      <w:r>
        <w:rPr>
          <w:sz w:val="20"/>
          <w:szCs w:val="20"/>
          <w:color w:val="auto"/>
        </w:rPr>
        <w:tab/>
      </w:r>
      <w:hyperlink r:id="rId152">
        <w:r>
          <w:rPr>
            <w:rFonts w:ascii="Arial" w:cs="Arial" w:eastAsia="Arial" w:hAnsi="Arial"/>
            <w:sz w:val="17"/>
            <w:szCs w:val="17"/>
            <w:u w:val="single" w:color="auto"/>
            <w:color w:val="0000FF"/>
          </w:rPr>
          <w:t>Form of Long-Term Incentive Award Agreement (2018 Stock and Incentive Compensation Plan) (Exhibit 10.15 to the Company's Annual</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Report on Form 10-K, filed September 3, 2020).</w:t>
        </w:r>
      </w:hyperlink>
    </w:p>
    <w:p>
      <w:pPr>
        <w:spacing w:after="0" w:line="67" w:lineRule="exact"/>
        <w:rPr>
          <w:sz w:val="20"/>
          <w:szCs w:val="20"/>
          <w:color w:val="auto"/>
        </w:rPr>
      </w:pPr>
    </w:p>
    <w:p>
      <w:pPr>
        <w:ind w:left="740"/>
        <w:spacing w:after="0"/>
        <w:tabs>
          <w:tab w:leader="none" w:pos="1360" w:val="left"/>
        </w:tabs>
        <w:rPr>
          <w:rFonts w:ascii="Arial" w:cs="Arial" w:eastAsia="Arial" w:hAnsi="Arial"/>
          <w:sz w:val="15"/>
          <w:szCs w:val="15"/>
          <w:u w:val="single" w:color="auto"/>
          <w:color w:val="0000FF"/>
        </w:rPr>
      </w:pPr>
      <w:r>
        <w:rPr>
          <w:rFonts w:ascii="Arial" w:cs="Arial" w:eastAsia="Arial" w:hAnsi="Arial"/>
          <w:sz w:val="17"/>
          <w:szCs w:val="17"/>
          <w:color w:val="auto"/>
        </w:rPr>
        <w:t>+10.12</w:t>
      </w:r>
      <w:r>
        <w:rPr>
          <w:sz w:val="20"/>
          <w:szCs w:val="20"/>
          <w:color w:val="auto"/>
        </w:rPr>
        <w:tab/>
      </w:r>
      <w:hyperlink r:id="rId153">
        <w:r>
          <w:rPr>
            <w:rFonts w:ascii="Arial" w:cs="Arial" w:eastAsia="Arial" w:hAnsi="Arial"/>
            <w:sz w:val="15"/>
            <w:szCs w:val="15"/>
            <w:u w:val="single" w:color="auto"/>
            <w:color w:val="0000FF"/>
          </w:rPr>
          <w:t>Form of Amended and Restated Severance Agreement (Exhibit 10 to the Company's Current Report on Form 8-K filed November 15, 2016)</w:t>
        </w:r>
      </w:hyperlink>
      <w:r>
        <w:rPr>
          <w:rFonts w:ascii="Arial" w:cs="Arial" w:eastAsia="Arial" w:hAnsi="Arial"/>
          <w:sz w:val="15"/>
          <w:szCs w:val="15"/>
          <w:color w:val="000000"/>
        </w:rPr>
        <w:t>.</w:t>
      </w:r>
    </w:p>
    <w:p>
      <w:pPr>
        <w:spacing w:after="0" w:line="80" w:lineRule="exact"/>
        <w:rPr>
          <w:sz w:val="20"/>
          <w:szCs w:val="20"/>
          <w:color w:val="auto"/>
        </w:rPr>
      </w:pPr>
    </w:p>
    <w:p>
      <w:pPr>
        <w:ind w:left="1380" w:right="40" w:hanging="630"/>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+10.13</w:t>
      </w:r>
      <w:r>
        <w:rPr>
          <w:sz w:val="20"/>
          <w:szCs w:val="20"/>
          <w:color w:val="auto"/>
        </w:rPr>
        <w:tab/>
      </w:r>
      <w:hyperlink r:id="rId154">
        <w:r>
          <w:rPr>
            <w:rFonts w:ascii="Arial" w:cs="Arial" w:eastAsia="Arial" w:hAnsi="Arial"/>
            <w:sz w:val="17"/>
            <w:szCs w:val="17"/>
            <w:u w:val="single" w:color="auto"/>
            <w:color w:val="0000FF"/>
          </w:rPr>
          <w:t>Amended and Restated Deferred Compensation Plan for Members of the Board of Directors (Exhibit 10.1 to the Company’s Quarterly Report</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on Form 10-Q filed January 8, 2009)</w:t>
        </w:r>
        <w:r>
          <w:rPr>
            <w:rFonts w:ascii="Arial" w:cs="Arial" w:eastAsia="Arial" w:hAnsi="Arial"/>
            <w:sz w:val="17"/>
            <w:szCs w:val="17"/>
            <w:color w:val="000000"/>
          </w:rPr>
          <w:t>.</w:t>
        </w:r>
      </w:hyperlink>
    </w:p>
    <w:p>
      <w:pPr>
        <w:spacing w:after="0" w:line="66" w:lineRule="exact"/>
        <w:rPr>
          <w:sz w:val="20"/>
          <w:szCs w:val="20"/>
          <w:color w:val="auto"/>
        </w:rPr>
      </w:pPr>
    </w:p>
    <w:p>
      <w:pPr>
        <w:ind w:left="1380" w:right="200" w:hanging="630"/>
        <w:spacing w:after="0" w:line="241" w:lineRule="auto"/>
        <w:tabs>
          <w:tab w:leader="none" w:pos="1360" w:val="left"/>
        </w:tabs>
        <w:rPr>
          <w:rFonts w:ascii="Arial" w:cs="Arial" w:eastAsia="Arial" w:hAnsi="Arial"/>
          <w:sz w:val="17"/>
          <w:szCs w:val="17"/>
          <w:color w:val="0000FF"/>
        </w:rPr>
      </w:pPr>
      <w:r>
        <w:rPr>
          <w:rFonts w:ascii="Arial" w:cs="Arial" w:eastAsia="Arial" w:hAnsi="Arial"/>
          <w:sz w:val="17"/>
          <w:szCs w:val="17"/>
          <w:color w:val="auto"/>
        </w:rPr>
        <w:t>+10.14</w:t>
      </w:r>
      <w:r>
        <w:rPr>
          <w:sz w:val="20"/>
          <w:szCs w:val="20"/>
          <w:color w:val="auto"/>
        </w:rPr>
        <w:tab/>
      </w:r>
      <w:hyperlink r:id="rId155">
        <w:r>
          <w:rPr>
            <w:rFonts w:ascii="Arial" w:cs="Arial" w:eastAsia="Arial" w:hAnsi="Arial"/>
            <w:sz w:val="17"/>
            <w:szCs w:val="17"/>
            <w:u w:val="single" w:color="auto"/>
            <w:color w:val="0000FF"/>
          </w:rPr>
          <w:t>Amendment 1 to Amended and Restated Deferred Compensation Plan for Members of the Board of Directors (Exhibit 10 to the Company's</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Quarterly Report on Form 10-Q filed November 9, 2012)</w:t>
        </w:r>
        <w:r>
          <w:rPr>
            <w:rFonts w:ascii="Arial" w:cs="Arial" w:eastAsia="Arial" w:hAnsi="Arial"/>
            <w:sz w:val="17"/>
            <w:szCs w:val="17"/>
            <w:color w:val="000000"/>
          </w:rPr>
          <w:t>.</w:t>
        </w:r>
      </w:hyperlink>
    </w:p>
    <w:p>
      <w:pPr>
        <w:spacing w:after="0" w:line="55" w:lineRule="exact"/>
        <w:rPr>
          <w:sz w:val="20"/>
          <w:szCs w:val="20"/>
          <w:color w:val="auto"/>
        </w:rPr>
      </w:pPr>
    </w:p>
    <w:p>
      <w:pPr>
        <w:ind w:left="740"/>
        <w:spacing w:after="0"/>
        <w:tabs>
          <w:tab w:leader="none" w:pos="1360" w:val="left"/>
        </w:tabs>
        <w:rPr>
          <w:rFonts w:ascii="Arial" w:cs="Arial" w:eastAsia="Arial" w:hAnsi="Arial"/>
          <w:sz w:val="15"/>
          <w:szCs w:val="15"/>
          <w:u w:val="single" w:color="auto"/>
          <w:color w:val="0000FF"/>
        </w:rPr>
      </w:pPr>
      <w:r>
        <w:rPr>
          <w:rFonts w:ascii="Arial" w:cs="Arial" w:eastAsia="Arial" w:hAnsi="Arial"/>
          <w:sz w:val="17"/>
          <w:szCs w:val="17"/>
          <w:color w:val="auto"/>
        </w:rPr>
        <w:t>+10.15</w:t>
      </w:r>
      <w:r>
        <w:rPr>
          <w:sz w:val="20"/>
          <w:szCs w:val="20"/>
          <w:color w:val="auto"/>
        </w:rPr>
        <w:tab/>
      </w:r>
      <w:hyperlink r:id="rId156">
        <w:r>
          <w:rPr>
            <w:rFonts w:ascii="Arial" w:cs="Arial" w:eastAsia="Arial" w:hAnsi="Arial"/>
            <w:sz w:val="15"/>
            <w:szCs w:val="15"/>
            <w:u w:val="single" w:color="auto"/>
            <w:color w:val="0000FF"/>
          </w:rPr>
          <w:t>Matrix Service Company 2020 Stock and Incentive Compensation Plan (Appendix A to the Company's Proxy Statement filed on September</w:t>
        </w:r>
      </w:hyperlink>
    </w:p>
    <w:p>
      <w:pPr>
        <w:ind w:left="1380"/>
        <w:spacing w:after="0"/>
        <w:rPr>
          <w:rFonts w:ascii="Arial" w:cs="Arial" w:eastAsia="Arial" w:hAnsi="Arial"/>
          <w:sz w:val="17"/>
          <w:szCs w:val="17"/>
          <w:color w:val="0000FF"/>
        </w:rPr>
      </w:pPr>
      <w:hyperlink r:id="rId156">
        <w:r>
          <w:rPr>
            <w:rFonts w:ascii="Arial" w:cs="Arial" w:eastAsia="Arial" w:hAnsi="Arial"/>
            <w:sz w:val="17"/>
            <w:szCs w:val="17"/>
            <w:u w:val="single" w:color="auto"/>
            <w:color w:val="0000FF"/>
          </w:rPr>
          <w:t>24, 2020).</w:t>
        </w:r>
        <w:r>
          <w:rPr>
            <w:rFonts w:ascii="Arial" w:cs="Arial" w:eastAsia="Arial" w:hAnsi="Arial"/>
            <w:sz w:val="17"/>
            <w:szCs w:val="17"/>
            <w:color w:val="000000"/>
          </w:rPr>
          <w:t>.</w:t>
        </w:r>
      </w:hyperlink>
    </w:p>
    <w:p>
      <w:pPr>
        <w:spacing w:after="0" w:line="79" w:lineRule="exact"/>
        <w:rPr>
          <w:sz w:val="20"/>
          <w:szCs w:val="20"/>
          <w:color w:val="auto"/>
        </w:rPr>
      </w:pPr>
    </w:p>
    <w:p>
      <w:pPr>
        <w:ind w:left="1380" w:right="320" w:hanging="630"/>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+10.16</w:t>
      </w:r>
      <w:r>
        <w:rPr>
          <w:sz w:val="20"/>
          <w:szCs w:val="20"/>
          <w:color w:val="auto"/>
        </w:rPr>
        <w:tab/>
      </w:r>
      <w:hyperlink r:id="rId157">
        <w:r>
          <w:rPr>
            <w:rFonts w:ascii="Arial" w:cs="Arial" w:eastAsia="Arial" w:hAnsi="Arial"/>
            <w:sz w:val="17"/>
            <w:szCs w:val="17"/>
            <w:u w:val="single" w:color="auto"/>
            <w:color w:val="0000FF"/>
          </w:rPr>
          <w:t>Form of Long-Term Incentive Award Agreement (2020 Stock and Incentive Compensation Plan) (Exhibit 10.16 to the Company's Annual</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Report on Form 10-K filed September 13, 2021).</w:t>
        </w:r>
      </w:hyperlink>
    </w:p>
    <w:p>
      <w:pPr>
        <w:spacing w:after="0" w:line="66" w:lineRule="exact"/>
        <w:rPr>
          <w:sz w:val="20"/>
          <w:szCs w:val="20"/>
          <w:color w:val="auto"/>
        </w:rPr>
      </w:pPr>
    </w:p>
    <w:p>
      <w:pPr>
        <w:ind w:left="1380" w:right="300" w:hanging="630"/>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+10.17</w:t>
      </w:r>
      <w:r>
        <w:rPr>
          <w:sz w:val="20"/>
          <w:szCs w:val="20"/>
          <w:color w:val="auto"/>
        </w:rPr>
        <w:tab/>
      </w:r>
      <w:hyperlink r:id="rId158">
        <w:r>
          <w:rPr>
            <w:rFonts w:ascii="Arial" w:cs="Arial" w:eastAsia="Arial" w:hAnsi="Arial"/>
            <w:sz w:val="17"/>
            <w:szCs w:val="17"/>
            <w:u w:val="single" w:color="auto"/>
            <w:color w:val="0000FF"/>
          </w:rPr>
          <w:t>Form of Restricted Stock Unit Award Agreement (2020 Stock and Incentive Compensation Plan) (Exhibit 10.17 to the Company's Annual</w:t>
        </w:r>
      </w:hyperlink>
      <w:r>
        <w:rPr>
          <w:rFonts w:ascii="Arial" w:cs="Arial" w:eastAsia="Arial" w:hAnsi="Arial"/>
          <w:sz w:val="17"/>
          <w:szCs w:val="17"/>
          <w:u w:val="single" w:color="auto"/>
          <w:color w:val="0000FF"/>
        </w:rPr>
        <w:t xml:space="preserve"> </w:t>
      </w:r>
      <w:hyperlink r:id="rId158">
        <w:r>
          <w:rPr>
            <w:rFonts w:ascii="Arial" w:cs="Arial" w:eastAsia="Arial" w:hAnsi="Arial"/>
            <w:sz w:val="17"/>
            <w:szCs w:val="17"/>
            <w:u w:val="single" w:color="auto"/>
            <w:color w:val="0000FF"/>
          </w:rPr>
          <w:t>Report on Form 10-K filed September 13, 2021).</w:t>
        </w:r>
      </w:hyperlink>
    </w:p>
    <w:p>
      <w:pPr>
        <w:spacing w:after="0" w:line="66" w:lineRule="exact"/>
        <w:rPr>
          <w:sz w:val="20"/>
          <w:szCs w:val="20"/>
          <w:color w:val="auto"/>
        </w:rPr>
      </w:pPr>
    </w:p>
    <w:p>
      <w:pPr>
        <w:ind w:left="740"/>
        <w:spacing w:after="0"/>
        <w:tabs>
          <w:tab w:leader="none" w:pos="1360" w:val="left"/>
        </w:tabs>
        <w:rPr>
          <w:rFonts w:ascii="Arial" w:cs="Arial" w:eastAsia="Arial" w:hAnsi="Arial"/>
          <w:sz w:val="16"/>
          <w:szCs w:val="16"/>
          <w:u w:val="single" w:color="auto"/>
          <w:color w:val="0000FF"/>
        </w:rPr>
      </w:pPr>
      <w:r>
        <w:rPr>
          <w:rFonts w:ascii="Arial" w:cs="Arial" w:eastAsia="Arial" w:hAnsi="Arial"/>
          <w:sz w:val="17"/>
          <w:szCs w:val="17"/>
          <w:color w:val="auto"/>
        </w:rPr>
        <w:t>+10.18</w:t>
      </w:r>
      <w:r>
        <w:rPr>
          <w:sz w:val="20"/>
          <w:szCs w:val="20"/>
          <w:color w:val="auto"/>
        </w:rPr>
        <w:tab/>
      </w:r>
      <w:hyperlink r:id="rId159">
        <w:r>
          <w:rPr>
            <w:rFonts w:ascii="Arial" w:cs="Arial" w:eastAsia="Arial" w:hAnsi="Arial"/>
            <w:sz w:val="16"/>
            <w:szCs w:val="16"/>
            <w:u w:val="single" w:color="auto"/>
            <w:color w:val="0000FF"/>
          </w:rPr>
          <w:t>Form of Indemnification Agreement (Exhibit 10 to the Company's Quarterly Report on Form 10-Q filed November 7, 2019).</w:t>
        </w:r>
      </w:hyperlink>
    </w:p>
    <w:p>
      <w:pPr>
        <w:spacing w:after="0" w:line="80" w:lineRule="exact"/>
        <w:rPr>
          <w:sz w:val="20"/>
          <w:szCs w:val="20"/>
          <w:color w:val="auto"/>
        </w:rPr>
      </w:pPr>
    </w:p>
    <w:p>
      <w:pPr>
        <w:ind w:left="1380" w:right="220" w:hanging="532"/>
        <w:spacing w:after="0" w:line="256" w:lineRule="auto"/>
        <w:tabs>
          <w:tab w:leader="none" w:pos="1360" w:val="left"/>
        </w:tabs>
        <w:rPr>
          <w:rFonts w:ascii="Arial" w:cs="Arial" w:eastAsia="Arial" w:hAnsi="Arial"/>
          <w:sz w:val="15"/>
          <w:szCs w:val="15"/>
          <w:u w:val="single" w:color="auto"/>
          <w:color w:val="0000FF"/>
        </w:rPr>
      </w:pPr>
      <w:r>
        <w:rPr>
          <w:rFonts w:ascii="Arial" w:cs="Arial" w:eastAsia="Arial" w:hAnsi="Arial"/>
          <w:sz w:val="17"/>
          <w:szCs w:val="17"/>
          <w:color w:val="auto"/>
        </w:rPr>
        <w:t>10.19</w:t>
      </w:r>
      <w:r>
        <w:rPr>
          <w:sz w:val="20"/>
          <w:szCs w:val="20"/>
          <w:color w:val="auto"/>
        </w:rPr>
        <w:tab/>
      </w:r>
      <w:hyperlink r:id="rId160">
        <w:r>
          <w:rPr>
            <w:rFonts w:ascii="Arial" w:cs="Arial" w:eastAsia="Arial" w:hAnsi="Arial"/>
            <w:sz w:val="15"/>
            <w:szCs w:val="15"/>
            <w:u w:val="single" w:color="auto"/>
            <w:color w:val="0000FF"/>
          </w:rPr>
          <w:t>Credit Agreement dated as of September 9, 2021 by and among, Matrix Service Company and certain subsidiaries thereof, certain financial</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institutions as lenders, and Bank of Montreal, as administrative agent (Exhibit 10.19 to the Company's Annual Report on Form 10-K filed</w:t>
        </w:r>
      </w:hyperlink>
    </w:p>
    <w:p>
      <w:pPr>
        <w:ind w:left="1380"/>
        <w:spacing w:after="0"/>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September 13, 2021).</w:t>
        </w:r>
      </w:hyperlink>
    </w:p>
    <w:p>
      <w:pPr>
        <w:spacing w:after="0" w:line="66" w:lineRule="exact"/>
        <w:rPr>
          <w:sz w:val="20"/>
          <w:szCs w:val="20"/>
          <w:color w:val="auto"/>
        </w:rPr>
      </w:pPr>
    </w:p>
    <w:p>
      <w:pPr>
        <w:ind w:left="1380" w:right="300" w:hanging="630"/>
        <w:spacing w:after="0" w:line="241" w:lineRule="auto"/>
        <w:tabs>
          <w:tab w:leader="none" w:pos="1360" w:val="left"/>
        </w:tabs>
        <w:rPr>
          <w:rFonts w:ascii="Arial" w:cs="Arial" w:eastAsia="Arial" w:hAnsi="Arial"/>
          <w:sz w:val="17"/>
          <w:szCs w:val="17"/>
          <w:u w:val="single" w:color="auto"/>
          <w:color w:val="0000FF"/>
        </w:rPr>
      </w:pPr>
      <w:r>
        <w:rPr>
          <w:rFonts w:ascii="Arial" w:cs="Arial" w:eastAsia="Arial" w:hAnsi="Arial"/>
          <w:sz w:val="17"/>
          <w:szCs w:val="17"/>
          <w:color w:val="auto"/>
        </w:rPr>
        <w:t>+10.20</w:t>
      </w:r>
      <w:r>
        <w:rPr>
          <w:sz w:val="20"/>
          <w:szCs w:val="20"/>
          <w:color w:val="auto"/>
        </w:rPr>
        <w:tab/>
      </w:r>
      <w:hyperlink r:id="rId161">
        <w:r>
          <w:rPr>
            <w:rFonts w:ascii="Arial" w:cs="Arial" w:eastAsia="Arial" w:hAnsi="Arial"/>
            <w:sz w:val="17"/>
            <w:szCs w:val="17"/>
            <w:u w:val="single" w:color="auto"/>
            <w:color w:val="0000FF"/>
          </w:rPr>
          <w:t>Amended and Restated Matrix Service Company 2021 Severance Plan for Executives (Exhibit 10.1 to the Company's Quarterly Report on</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Form 10-Q filed May 10, 2022).</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973" w:right="239" w:bottom="1440" w:gutter="0" w:footer="0" w:header="0"/>
        </w:sectPr>
      </w:pPr>
    </w:p>
    <w:bookmarkStart w:id="86" w:name="page87"/>
    <w:bookmarkEnd w:id="86"/>
    <w:tbl>
      <w:tblPr>
        <w:tblLayout w:type="fixed"/>
        <w:tblInd w:w="340" w:type="dxa"/>
        <w:tblCellMar>
          <w:top w:w="0" w:type="dxa"/>
          <w:left w:w="0" w:type="dxa"/>
          <w:bottom w:w="0" w:type="dxa"/>
          <w:right w:w="0" w:type="dxa"/>
        </w:tblCellMar>
      </w:tblPr>
      <w:tr>
        <w:trPr>
          <w:trHeight w:val="19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*10.21</w:t>
            </w:r>
          </w:p>
        </w:tc>
        <w:tc>
          <w:tcPr>
            <w:tcW w:w="9780" w:type="dxa"/>
            <w:vAlign w:val="bottom"/>
            <w:gridSpan w:val="9"/>
          </w:tcPr>
          <w:p>
            <w:pPr>
              <w:spacing w:after="0"/>
              <w:rPr>
                <w:sz w:val="20"/>
                <w:szCs w:val="20"/>
                <w:color w:val="auto"/>
              </w:rPr>
            </w:pPr>
            <w:r>
              <w:rPr>
                <w:rFonts w:ascii="Arial" w:cs="Arial" w:eastAsia="Arial" w:hAnsi="Arial"/>
                <w:sz w:val="17"/>
                <w:szCs w:val="17"/>
                <w:color w:val="0000FF"/>
              </w:rPr>
              <w:t>Purchase and Sale Agreement dated June 9, 2022 by and between Matrix Service, Inc. and Pisces Logistics Acquisition LLC.</w:t>
            </w: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*21</w:t>
            </w:r>
          </w:p>
        </w:tc>
        <w:tc>
          <w:tcPr>
            <w:tcW w:w="9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0"/>
              </w:rPr>
              <w:t>Subsidiaries.</w:t>
            </w:r>
          </w:p>
        </w:tc>
        <w:tc>
          <w:tcPr>
            <w:tcW w:w="7860" w:type="dxa"/>
            <w:vAlign w:val="bottom"/>
            <w:tcBorders>
              <w:top w:val="single" w:sz="8" w:color="0000FF"/>
            </w:tcBorders>
            <w:gridSpan w:val="7"/>
          </w:tcPr>
          <w:p>
            <w:pPr>
              <w:spacing w:after="0"/>
              <w:rPr>
                <w:sz w:val="22"/>
                <w:szCs w:val="22"/>
                <w:color w:val="auto"/>
              </w:rPr>
            </w:pPr>
          </w:p>
        </w:tc>
        <w:tc>
          <w:tcPr>
            <w:tcW w:w="1020" w:type="dxa"/>
            <w:vAlign w:val="bottom"/>
          </w:tcPr>
          <w:p>
            <w:pPr>
              <w:spacing w:after="0"/>
              <w:rPr>
                <w:sz w:val="22"/>
                <w:szCs w:val="22"/>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*23</w:t>
            </w:r>
          </w:p>
        </w:tc>
        <w:tc>
          <w:tcPr>
            <w:tcW w:w="9780" w:type="dxa"/>
            <w:vAlign w:val="bottom"/>
            <w:gridSpan w:val="9"/>
          </w:tcPr>
          <w:p>
            <w:pPr>
              <w:spacing w:after="0"/>
              <w:rPr>
                <w:sz w:val="20"/>
                <w:szCs w:val="20"/>
                <w:color w:val="auto"/>
              </w:rPr>
            </w:pPr>
            <w:r>
              <w:rPr>
                <w:rFonts w:ascii="Arial" w:cs="Arial" w:eastAsia="Arial" w:hAnsi="Arial"/>
                <w:sz w:val="17"/>
                <w:szCs w:val="17"/>
                <w:color w:val="0000FF"/>
              </w:rPr>
              <w:t>Consent of Independent Registered Public Accounting Firm—Deloitte &amp; Touche LLP.</w:t>
            </w:r>
          </w:p>
        </w:tc>
      </w:tr>
      <w:tr>
        <w:trPr>
          <w:trHeight w:val="20"/>
        </w:trPr>
        <w:tc>
          <w:tcPr>
            <w:tcW w:w="88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*31.1</w:t>
            </w:r>
          </w:p>
        </w:tc>
        <w:tc>
          <w:tcPr>
            <w:tcW w:w="632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4"/>
              </w:rPr>
              <w:t>Certification Certification Pursuant to Section 302 of Sarbanes-Oxley Act of 2002—CEO.</w:t>
            </w:r>
          </w:p>
        </w:tc>
        <w:tc>
          <w:tcPr>
            <w:tcW w:w="3460" w:type="dxa"/>
            <w:vAlign w:val="bottom"/>
            <w:gridSpan w:val="4"/>
          </w:tcPr>
          <w:p>
            <w:pPr>
              <w:spacing w:after="0"/>
              <w:rPr>
                <w:sz w:val="22"/>
                <w:szCs w:val="22"/>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*31.2</w:t>
            </w:r>
          </w:p>
        </w:tc>
        <w:tc>
          <w:tcPr>
            <w:tcW w:w="53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4"/>
              </w:rPr>
              <w:t>Certification Pursuant to Section 302 of Sarbanes-Oxley Act of 2002—CFO.</w:t>
            </w:r>
          </w:p>
        </w:tc>
        <w:tc>
          <w:tcPr>
            <w:tcW w:w="4400" w:type="dxa"/>
            <w:vAlign w:val="bottom"/>
            <w:gridSpan w:val="6"/>
          </w:tcPr>
          <w:p>
            <w:pPr>
              <w:spacing w:after="0"/>
              <w:rPr>
                <w:sz w:val="22"/>
                <w:szCs w:val="22"/>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*32.1</w:t>
            </w:r>
          </w:p>
        </w:tc>
        <w:tc>
          <w:tcPr>
            <w:tcW w:w="66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3"/>
              </w:rPr>
              <w:t>Certification Pursuant to 18 U.S.C. 1350 (section 906 of Sarbanes-Oxley Act of 2002)—CEO.</w:t>
            </w:r>
          </w:p>
        </w:tc>
        <w:tc>
          <w:tcPr>
            <w:tcW w:w="3180" w:type="dxa"/>
            <w:vAlign w:val="bottom"/>
            <w:gridSpan w:val="2"/>
          </w:tcPr>
          <w:p>
            <w:pPr>
              <w:spacing w:after="0"/>
              <w:rPr>
                <w:sz w:val="22"/>
                <w:szCs w:val="22"/>
                <w:color w:val="auto"/>
              </w:rPr>
            </w:pP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*32.2</w:t>
            </w:r>
          </w:p>
        </w:tc>
        <w:tc>
          <w:tcPr>
            <w:tcW w:w="9780" w:type="dxa"/>
            <w:vAlign w:val="bottom"/>
            <w:gridSpan w:val="9"/>
          </w:tcPr>
          <w:p>
            <w:pPr>
              <w:spacing w:after="0"/>
              <w:rPr>
                <w:sz w:val="20"/>
                <w:szCs w:val="20"/>
                <w:color w:val="auto"/>
              </w:rPr>
            </w:pPr>
            <w:r>
              <w:rPr>
                <w:rFonts w:ascii="Arial" w:cs="Arial" w:eastAsia="Arial" w:hAnsi="Arial"/>
                <w:sz w:val="17"/>
                <w:szCs w:val="17"/>
                <w:color w:val="0000FF"/>
              </w:rPr>
              <w:t>Certification Pursuant to 18 U.S.C. 1350 (section 906 of Sarbanes-Oxley Act of 2002)—CFO.</w:t>
            </w:r>
          </w:p>
        </w:tc>
      </w:tr>
      <w:tr>
        <w:trPr>
          <w:trHeight w:val="25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*95</w:t>
            </w:r>
          </w:p>
        </w:tc>
        <w:tc>
          <w:tcPr>
            <w:tcW w:w="658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Mine Safety Disclosure.</w:t>
            </w:r>
          </w:p>
        </w:tc>
        <w:tc>
          <w:tcPr>
            <w:tcW w:w="3200" w:type="dxa"/>
            <w:vAlign w:val="bottom"/>
            <w:gridSpan w:val="3"/>
          </w:tcPr>
          <w:p>
            <w:pPr>
              <w:spacing w:after="0"/>
              <w:rPr>
                <w:sz w:val="22"/>
                <w:szCs w:val="22"/>
                <w:color w:val="auto"/>
              </w:rPr>
            </w:pPr>
          </w:p>
        </w:tc>
      </w:tr>
      <w:tr>
        <w:trPr>
          <w:trHeight w:val="20"/>
        </w:trPr>
        <w:tc>
          <w:tcPr>
            <w:tcW w:w="88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8100" w:type="dxa"/>
            <w:vAlign w:val="bottom"/>
            <w:gridSpan w:val="7"/>
          </w:tcPr>
          <w:p>
            <w:pPr>
              <w:spacing w:after="0" w:line="20" w:lineRule="exact"/>
              <w:rPr>
                <w:sz w:val="1"/>
                <w:szCs w:val="1"/>
                <w:color w:val="auto"/>
              </w:rPr>
            </w:pPr>
          </w:p>
        </w:tc>
      </w:tr>
      <w:tr>
        <w:trPr>
          <w:trHeight w:val="191"/>
        </w:trPr>
        <w:tc>
          <w:tcPr>
            <w:tcW w:w="880" w:type="dxa"/>
            <w:vAlign w:val="bottom"/>
          </w:tcPr>
          <w:p>
            <w:pPr>
              <w:jc w:val="right"/>
              <w:ind w:right="53"/>
              <w:spacing w:after="0" w:line="190" w:lineRule="exact"/>
              <w:rPr>
                <w:sz w:val="20"/>
                <w:szCs w:val="20"/>
                <w:color w:val="auto"/>
              </w:rPr>
            </w:pPr>
            <w:r>
              <w:rPr>
                <w:rFonts w:ascii="Arial" w:cs="Arial" w:eastAsia="Arial" w:hAnsi="Arial"/>
                <w:sz w:val="17"/>
                <w:szCs w:val="17"/>
                <w:color w:val="auto"/>
              </w:rPr>
              <w:t>*101.INS</w:t>
            </w:r>
          </w:p>
        </w:tc>
        <w:tc>
          <w:tcPr>
            <w:tcW w:w="9780" w:type="dxa"/>
            <w:vAlign w:val="bottom"/>
            <w:gridSpan w:val="9"/>
          </w:tcPr>
          <w:p>
            <w:pPr>
              <w:spacing w:after="0" w:line="190" w:lineRule="exact"/>
              <w:rPr>
                <w:sz w:val="20"/>
                <w:szCs w:val="20"/>
                <w:color w:val="auto"/>
              </w:rPr>
            </w:pPr>
            <w:r>
              <w:rPr>
                <w:rFonts w:ascii="Arial" w:cs="Arial" w:eastAsia="Arial" w:hAnsi="Arial"/>
                <w:sz w:val="17"/>
                <w:szCs w:val="17"/>
                <w:color w:val="auto"/>
                <w:w w:val="92"/>
              </w:rPr>
              <w:t>XBRL Instance Document - the instance document does not appear in the Interactive Data File because its XBRL tags are embedded within</w:t>
            </w:r>
          </w:p>
        </w:tc>
      </w:tr>
      <w:tr>
        <w:trPr>
          <w:trHeight w:val="222"/>
        </w:trPr>
        <w:tc>
          <w:tcPr>
            <w:tcW w:w="880" w:type="dxa"/>
            <w:vAlign w:val="bottom"/>
          </w:tcPr>
          <w:p>
            <w:pPr>
              <w:spacing w:after="0"/>
              <w:rPr>
                <w:sz w:val="19"/>
                <w:szCs w:val="19"/>
                <w:color w:val="auto"/>
              </w:rPr>
            </w:pPr>
          </w:p>
        </w:tc>
        <w:tc>
          <w:tcPr>
            <w:tcW w:w="9780" w:type="dxa"/>
            <w:vAlign w:val="bottom"/>
            <w:gridSpan w:val="9"/>
          </w:tcPr>
          <w:p>
            <w:pPr>
              <w:spacing w:after="0"/>
              <w:rPr>
                <w:sz w:val="20"/>
                <w:szCs w:val="20"/>
                <w:color w:val="auto"/>
              </w:rPr>
            </w:pPr>
            <w:r>
              <w:rPr>
                <w:rFonts w:ascii="Arial" w:cs="Arial" w:eastAsia="Arial" w:hAnsi="Arial"/>
                <w:sz w:val="17"/>
                <w:szCs w:val="17"/>
                <w:color w:val="auto"/>
              </w:rPr>
              <w:t>the Inline XBRL document.</w:t>
            </w:r>
          </w:p>
        </w:tc>
      </w:tr>
      <w:tr>
        <w:trPr>
          <w:trHeight w:val="288"/>
        </w:trPr>
        <w:tc>
          <w:tcPr>
            <w:tcW w:w="880" w:type="dxa"/>
            <w:vAlign w:val="bottom"/>
          </w:tcPr>
          <w:p>
            <w:pPr>
              <w:jc w:val="right"/>
              <w:ind w:right="53"/>
              <w:spacing w:after="0"/>
              <w:rPr>
                <w:sz w:val="20"/>
                <w:szCs w:val="20"/>
                <w:color w:val="auto"/>
              </w:rPr>
            </w:pPr>
            <w:r>
              <w:rPr>
                <w:rFonts w:ascii="Arial" w:cs="Arial" w:eastAsia="Arial" w:hAnsi="Arial"/>
                <w:sz w:val="17"/>
                <w:szCs w:val="17"/>
                <w:color w:val="auto"/>
                <w:w w:val="95"/>
              </w:rPr>
              <w:t>*101.SCH</w:t>
            </w:r>
          </w:p>
        </w:tc>
        <w:tc>
          <w:tcPr>
            <w:tcW w:w="9780" w:type="dxa"/>
            <w:vAlign w:val="bottom"/>
            <w:gridSpan w:val="9"/>
          </w:tcPr>
          <w:p>
            <w:pPr>
              <w:spacing w:after="0"/>
              <w:rPr>
                <w:sz w:val="20"/>
                <w:szCs w:val="20"/>
                <w:color w:val="auto"/>
              </w:rPr>
            </w:pPr>
            <w:r>
              <w:rPr>
                <w:rFonts w:ascii="Arial" w:cs="Arial" w:eastAsia="Arial" w:hAnsi="Arial"/>
                <w:sz w:val="17"/>
                <w:szCs w:val="17"/>
                <w:color w:val="auto"/>
              </w:rPr>
              <w:t>XBRL Taxonomy Schema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w w:val="98"/>
              </w:rPr>
              <w:t>*101.CAL</w:t>
            </w:r>
          </w:p>
        </w:tc>
        <w:tc>
          <w:tcPr>
            <w:tcW w:w="9780" w:type="dxa"/>
            <w:vAlign w:val="bottom"/>
            <w:gridSpan w:val="9"/>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w w:val="97"/>
              </w:rPr>
              <w:t>*101.DEF</w:t>
            </w:r>
          </w:p>
        </w:tc>
        <w:tc>
          <w:tcPr>
            <w:tcW w:w="9780" w:type="dxa"/>
            <w:vAlign w:val="bottom"/>
            <w:gridSpan w:val="9"/>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*101.LAB</w:t>
            </w:r>
          </w:p>
        </w:tc>
        <w:tc>
          <w:tcPr>
            <w:tcW w:w="9780" w:type="dxa"/>
            <w:vAlign w:val="bottom"/>
            <w:gridSpan w:val="9"/>
          </w:tcPr>
          <w:p>
            <w:pPr>
              <w:spacing w:after="0"/>
              <w:rPr>
                <w:sz w:val="20"/>
                <w:szCs w:val="20"/>
                <w:color w:val="auto"/>
              </w:rPr>
            </w:pPr>
            <w:r>
              <w:rPr>
                <w:rFonts w:ascii="Arial" w:cs="Arial" w:eastAsia="Arial" w:hAnsi="Arial"/>
                <w:sz w:val="17"/>
                <w:szCs w:val="17"/>
                <w:color w:val="auto"/>
              </w:rPr>
              <w:t>XBRL Taxonomy Extension Labels Linkbase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w w:val="96"/>
              </w:rPr>
              <w:t>*101.PRE</w:t>
            </w:r>
          </w:p>
        </w:tc>
        <w:tc>
          <w:tcPr>
            <w:tcW w:w="9780" w:type="dxa"/>
            <w:vAlign w:val="bottom"/>
            <w:gridSpan w:val="9"/>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75"/>
        </w:trPr>
        <w:tc>
          <w:tcPr>
            <w:tcW w:w="880" w:type="dxa"/>
            <w:vAlign w:val="bottom"/>
          </w:tcPr>
          <w:p>
            <w:pPr>
              <w:jc w:val="right"/>
              <w:ind w:right="53"/>
              <w:spacing w:after="0"/>
              <w:rPr>
                <w:sz w:val="20"/>
                <w:szCs w:val="20"/>
                <w:color w:val="auto"/>
              </w:rPr>
            </w:pPr>
            <w:r>
              <w:rPr>
                <w:rFonts w:ascii="Arial" w:cs="Arial" w:eastAsia="Arial" w:hAnsi="Arial"/>
                <w:sz w:val="17"/>
                <w:szCs w:val="17"/>
                <w:color w:val="auto"/>
              </w:rPr>
              <w:t>*104</w:t>
            </w:r>
          </w:p>
        </w:tc>
        <w:tc>
          <w:tcPr>
            <w:tcW w:w="9780" w:type="dxa"/>
            <w:vAlign w:val="bottom"/>
            <w:gridSpan w:val="9"/>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*Filed herewith.</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+Management Contract or Compensatory Plan.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901" w:right="579" w:bottom="1440" w:gutter="0" w:footer="0" w:header="0"/>
        </w:sectPr>
      </w:pPr>
    </w:p>
    <w:bookmarkStart w:id="87" w:name="page88"/>
    <w:bookmarkEnd w:id="87"/>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Matrix Service Company has duly caused this report to be signed on its behalf by the undersigned, thereunto duly authorized.</w:t>
      </w:r>
    </w:p>
    <w:p>
      <w:pPr>
        <w:spacing w:after="0" w:line="200" w:lineRule="exact"/>
        <w:rPr>
          <w:sz w:val="20"/>
          <w:szCs w:val="20"/>
          <w:color w:val="auto"/>
        </w:rPr>
      </w:pP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7"/>
          <w:szCs w:val="17"/>
          <w:b w:val="1"/>
          <w:bCs w:val="1"/>
          <w:color w:val="auto"/>
        </w:rPr>
        <w:t>Matrix Service Company</w:t>
      </w:r>
    </w:p>
    <w:p>
      <w:pPr>
        <w:spacing w:after="0" w:line="290" w:lineRule="exact"/>
        <w:rPr>
          <w:sz w:val="20"/>
          <w:szCs w:val="20"/>
          <w:color w:val="auto"/>
        </w:rPr>
      </w:pPr>
    </w:p>
    <w:p>
      <w:pPr>
        <w:ind w:left="20"/>
        <w:spacing w:after="0"/>
        <w:tabs>
          <w:tab w:leader="none" w:pos="7100" w:val="left"/>
          <w:tab w:leader="none" w:pos="8760" w:val="left"/>
        </w:tabs>
        <w:rPr>
          <w:sz w:val="20"/>
          <w:szCs w:val="20"/>
          <w:color w:val="auto"/>
        </w:rPr>
      </w:pPr>
      <w:r>
        <w:rPr>
          <w:rFonts w:ascii="Arial" w:cs="Arial" w:eastAsia="Arial" w:hAnsi="Arial"/>
          <w:sz w:val="17"/>
          <w:szCs w:val="17"/>
          <w:color w:val="auto"/>
        </w:rPr>
        <w:t>Date : October 11,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20955</wp:posOffset>
            </wp:positionV>
            <wp:extent cx="22567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2256790" cy="8255"/>
                    </a:xfrm>
                    <a:prstGeom prst="rect">
                      <a:avLst/>
                    </a:prstGeom>
                    <a:noFill/>
                  </pic:spPr>
                </pic:pic>
              </a:graphicData>
            </a:graphic>
          </wp:anchor>
        </w:drawing>
      </w:r>
    </w:p>
    <w:p>
      <w:pPr>
        <w:spacing w:after="0" w:line="1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John R. Hewitt, President and</w:t>
      </w:r>
    </w:p>
    <w:p>
      <w:pPr>
        <w:jc w:val="center"/>
        <w:ind w:left="7620"/>
        <w:spacing w:after="0"/>
        <w:rPr>
          <w:sz w:val="20"/>
          <w:szCs w:val="20"/>
          <w:color w:val="auto"/>
        </w:rPr>
      </w:pPr>
      <w:r>
        <w:rPr>
          <w:rFonts w:ascii="Arial" w:cs="Arial" w:eastAsia="Arial" w:hAnsi="Arial"/>
          <w:sz w:val="14"/>
          <w:szCs w:val="14"/>
          <w:b w:val="1"/>
          <w:bCs w:val="1"/>
          <w:color w:val="auto"/>
        </w:rPr>
        <w:t>Chief Executive Officer</w:t>
      </w:r>
    </w:p>
    <w:p>
      <w:pPr>
        <w:spacing w:after="0" w:line="200" w:lineRule="exact"/>
        <w:rPr>
          <w:sz w:val="20"/>
          <w:szCs w:val="20"/>
          <w:color w:val="auto"/>
        </w:rPr>
      </w:pPr>
    </w:p>
    <w:p>
      <w:pPr>
        <w:spacing w:after="0" w:line="35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98" w:lineRule="exact"/>
        <w:rPr>
          <w:sz w:val="20"/>
          <w:szCs w:val="20"/>
          <w:color w:val="auto"/>
        </w:rPr>
      </w:pPr>
    </w:p>
    <w:p>
      <w:pPr>
        <w:ind w:left="1560"/>
        <w:spacing w:after="0"/>
        <w:tabs>
          <w:tab w:leader="none" w:pos="6080" w:val="left"/>
          <w:tab w:leader="none" w:pos="986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Jim W. Mogg</w:t>
            </w: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5"/>
              </w:rPr>
              <w:t>Chairman of the Board of Directors</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Jim W. Mogg</w:t>
            </w:r>
          </w:p>
        </w:tc>
        <w:tc>
          <w:tcPr>
            <w:tcW w:w="49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499"/>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John R. Hewitt</w:t>
            </w: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5"/>
              </w:rPr>
              <w:t>President, Chief Executive Officer and Director</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203"/>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John R. Hewitt</w:t>
            </w:r>
          </w:p>
        </w:tc>
        <w:tc>
          <w:tcPr>
            <w:tcW w:w="4920" w:type="dxa"/>
            <w:vAlign w:val="bottom"/>
          </w:tcPr>
          <w:p>
            <w:pPr>
              <w:jc w:val="center"/>
              <w:spacing w:after="0"/>
              <w:rPr>
                <w:sz w:val="20"/>
                <w:szCs w:val="20"/>
                <w:color w:val="auto"/>
              </w:rPr>
            </w:pPr>
            <w:r>
              <w:rPr>
                <w:rFonts w:ascii="Arial" w:cs="Arial" w:eastAsia="Arial" w:hAnsi="Arial"/>
                <w:sz w:val="17"/>
                <w:szCs w:val="17"/>
                <w:color w:val="auto"/>
                <w:w w:val="97"/>
              </w:rPr>
              <w:t>(Principal Executive Officer)</w:t>
            </w:r>
          </w:p>
        </w:tc>
        <w:tc>
          <w:tcPr>
            <w:tcW w:w="1960" w:type="dxa"/>
            <w:vAlign w:val="bottom"/>
          </w:tcPr>
          <w:p>
            <w:pPr>
              <w:spacing w:after="0"/>
              <w:rPr>
                <w:sz w:val="17"/>
                <w:szCs w:val="17"/>
                <w:color w:val="auto"/>
              </w:rPr>
            </w:pPr>
          </w:p>
        </w:tc>
      </w:tr>
      <w:tr>
        <w:trPr>
          <w:trHeight w:val="434"/>
        </w:trPr>
        <w:tc>
          <w:tcPr>
            <w:tcW w:w="3740" w:type="dxa"/>
            <w:vAlign w:val="bottom"/>
          </w:tcPr>
          <w:p>
            <w:pPr>
              <w:spacing w:after="0"/>
              <w:rPr>
                <w:sz w:val="24"/>
                <w:szCs w:val="24"/>
                <w:color w:val="auto"/>
              </w:rPr>
            </w:pP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3"/>
              </w:rPr>
              <w:t>Vice President</w:t>
            </w:r>
          </w:p>
        </w:tc>
        <w:tc>
          <w:tcPr>
            <w:tcW w:w="1960" w:type="dxa"/>
            <w:vAlign w:val="bottom"/>
          </w:tcPr>
          <w:p>
            <w:pPr>
              <w:spacing w:after="0"/>
              <w:rPr>
                <w:sz w:val="24"/>
                <w:szCs w:val="24"/>
                <w:color w:val="auto"/>
              </w:rPr>
            </w:pPr>
          </w:p>
        </w:tc>
      </w:tr>
      <w:tr>
        <w:trPr>
          <w:trHeight w:val="235"/>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Kevin S. Cavanah</w:t>
            </w:r>
          </w:p>
        </w:tc>
        <w:tc>
          <w:tcPr>
            <w:tcW w:w="4920" w:type="dxa"/>
            <w:vAlign w:val="bottom"/>
          </w:tcPr>
          <w:p>
            <w:pPr>
              <w:jc w:val="center"/>
              <w:spacing w:after="0"/>
              <w:rPr>
                <w:sz w:val="20"/>
                <w:szCs w:val="20"/>
                <w:color w:val="auto"/>
              </w:rPr>
            </w:pPr>
            <w:r>
              <w:rPr>
                <w:rFonts w:ascii="Arial" w:cs="Arial" w:eastAsia="Arial" w:hAnsi="Arial"/>
                <w:sz w:val="17"/>
                <w:szCs w:val="17"/>
                <w:color w:val="auto"/>
                <w:w w:val="95"/>
              </w:rPr>
              <w:t>and Chief Financial Officer</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152"/>
        </w:trPr>
        <w:tc>
          <w:tcPr>
            <w:tcW w:w="3740" w:type="dxa"/>
            <w:vAlign w:val="bottom"/>
          </w:tcPr>
          <w:p>
            <w:pPr>
              <w:ind w:left="960"/>
              <w:spacing w:after="0" w:line="152" w:lineRule="exact"/>
              <w:rPr>
                <w:sz w:val="20"/>
                <w:szCs w:val="20"/>
                <w:color w:val="auto"/>
              </w:rPr>
            </w:pPr>
            <w:r>
              <w:rPr>
                <w:rFonts w:ascii="Arial" w:cs="Arial" w:eastAsia="Arial" w:hAnsi="Arial"/>
                <w:sz w:val="14"/>
                <w:szCs w:val="14"/>
                <w:b w:val="1"/>
                <w:bCs w:val="1"/>
                <w:color w:val="auto"/>
              </w:rPr>
              <w:t>Kevin S. Cavanah</w:t>
            </w:r>
          </w:p>
        </w:tc>
        <w:tc>
          <w:tcPr>
            <w:tcW w:w="4920" w:type="dxa"/>
            <w:vAlign w:val="bottom"/>
          </w:tcPr>
          <w:p>
            <w:pPr>
              <w:jc w:val="center"/>
              <w:spacing w:after="0" w:line="152" w:lineRule="exact"/>
              <w:rPr>
                <w:sz w:val="20"/>
                <w:szCs w:val="20"/>
                <w:color w:val="auto"/>
              </w:rPr>
            </w:pPr>
            <w:r>
              <w:rPr>
                <w:rFonts w:ascii="Arial" w:cs="Arial" w:eastAsia="Arial" w:hAnsi="Arial"/>
                <w:sz w:val="17"/>
                <w:szCs w:val="17"/>
                <w:color w:val="auto"/>
                <w:w w:val="95"/>
              </w:rPr>
              <w:t>(Principal Accounting and</w:t>
            </w:r>
          </w:p>
        </w:tc>
        <w:tc>
          <w:tcPr>
            <w:tcW w:w="1960" w:type="dxa"/>
            <w:vAlign w:val="bottom"/>
          </w:tcPr>
          <w:p>
            <w:pPr>
              <w:spacing w:after="0"/>
              <w:rPr>
                <w:sz w:val="13"/>
                <w:szCs w:val="13"/>
                <w:color w:val="auto"/>
              </w:rPr>
            </w:pPr>
          </w:p>
        </w:tc>
      </w:tr>
      <w:tr>
        <w:trPr>
          <w:trHeight w:val="222"/>
        </w:trPr>
        <w:tc>
          <w:tcPr>
            <w:tcW w:w="3740" w:type="dxa"/>
            <w:vAlign w:val="bottom"/>
          </w:tcPr>
          <w:p>
            <w:pPr>
              <w:spacing w:after="0"/>
              <w:rPr>
                <w:sz w:val="19"/>
                <w:szCs w:val="19"/>
                <w:color w:val="auto"/>
              </w:rPr>
            </w:pP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7"/>
              </w:rPr>
              <w:t>Principal Financial Officer)</w:t>
            </w:r>
          </w:p>
        </w:tc>
        <w:tc>
          <w:tcPr>
            <w:tcW w:w="1960" w:type="dxa"/>
            <w:vAlign w:val="bottom"/>
          </w:tcPr>
          <w:p>
            <w:pPr>
              <w:spacing w:after="0"/>
              <w:rPr>
                <w:sz w:val="19"/>
                <w:szCs w:val="19"/>
                <w:color w:val="auto"/>
              </w:rPr>
            </w:pPr>
          </w:p>
        </w:tc>
      </w:tr>
      <w:tr>
        <w:trPr>
          <w:trHeight w:val="499"/>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Jose L. Bustamante</w:t>
            </w: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7"/>
              </w:rPr>
              <w:t>Director</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Jose L. Bustamante</w:t>
            </w:r>
          </w:p>
        </w:tc>
        <w:tc>
          <w:tcPr>
            <w:tcW w:w="49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499"/>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Martha Z. Carnes</w:t>
            </w: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7"/>
              </w:rPr>
              <w:t>Director</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Martha Z. Carnes</w:t>
            </w:r>
          </w:p>
        </w:tc>
        <w:tc>
          <w:tcPr>
            <w:tcW w:w="49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499"/>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John D. Chandler</w:t>
            </w: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7"/>
              </w:rPr>
              <w:t>Director</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John D. Chandler</w:t>
            </w:r>
          </w:p>
        </w:tc>
        <w:tc>
          <w:tcPr>
            <w:tcW w:w="49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499"/>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Carlin G. Conner</w:t>
            </w: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7"/>
              </w:rPr>
              <w:t>Director</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Carlin G. Conner</w:t>
            </w:r>
          </w:p>
        </w:tc>
        <w:tc>
          <w:tcPr>
            <w:tcW w:w="49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499"/>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Liane K. Hinrichs</w:t>
            </w: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7"/>
              </w:rPr>
              <w:t>Director</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Liane K. Hinrichs</w:t>
            </w:r>
          </w:p>
        </w:tc>
        <w:tc>
          <w:tcPr>
            <w:tcW w:w="49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499"/>
        </w:trPr>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/s/ James H. Miller</w:t>
            </w:r>
          </w:p>
        </w:tc>
        <w:tc>
          <w:tcPr>
            <w:tcW w:w="4920" w:type="dxa"/>
            <w:vAlign w:val="bottom"/>
          </w:tcPr>
          <w:p>
            <w:pPr>
              <w:jc w:val="center"/>
              <w:ind w:left="13"/>
              <w:spacing w:after="0"/>
              <w:rPr>
                <w:sz w:val="20"/>
                <w:szCs w:val="20"/>
                <w:color w:val="auto"/>
              </w:rPr>
            </w:pPr>
            <w:r>
              <w:rPr>
                <w:rFonts w:ascii="Arial" w:cs="Arial" w:eastAsia="Arial" w:hAnsi="Arial"/>
                <w:sz w:val="17"/>
                <w:szCs w:val="17"/>
                <w:color w:val="auto"/>
                <w:w w:val="97"/>
              </w:rPr>
              <w:t>Director</w:t>
            </w:r>
          </w:p>
        </w:tc>
        <w:tc>
          <w:tcPr>
            <w:tcW w:w="1960" w:type="dxa"/>
            <w:vAlign w:val="bottom"/>
          </w:tcPr>
          <w:p>
            <w:pPr>
              <w:ind w:left="740"/>
              <w:spacing w:after="0"/>
              <w:rPr>
                <w:sz w:val="20"/>
                <w:szCs w:val="20"/>
                <w:color w:val="auto"/>
              </w:rPr>
            </w:pPr>
            <w:r>
              <w:rPr>
                <w:rFonts w:ascii="Arial" w:cs="Arial" w:eastAsia="Arial" w:hAnsi="Arial"/>
                <w:sz w:val="17"/>
                <w:szCs w:val="17"/>
                <w:color w:val="auto"/>
                <w:w w:val="91"/>
              </w:rPr>
              <w:t>October 11, 2022</w:t>
            </w:r>
          </w:p>
        </w:tc>
      </w:tr>
      <w:tr>
        <w:trPr>
          <w:trHeight w:val="176"/>
        </w:trPr>
        <w:tc>
          <w:tcPr>
            <w:tcW w:w="3740" w:type="dxa"/>
            <w:vAlign w:val="bottom"/>
          </w:tcPr>
          <w:p>
            <w:pPr>
              <w:ind w:left="960"/>
              <w:spacing w:after="0"/>
              <w:rPr>
                <w:sz w:val="20"/>
                <w:szCs w:val="20"/>
                <w:color w:val="auto"/>
              </w:rPr>
            </w:pPr>
            <w:r>
              <w:rPr>
                <w:rFonts w:ascii="Arial" w:cs="Arial" w:eastAsia="Arial" w:hAnsi="Arial"/>
                <w:sz w:val="14"/>
                <w:szCs w:val="14"/>
                <w:b w:val="1"/>
                <w:bCs w:val="1"/>
                <w:color w:val="auto"/>
              </w:rPr>
              <w:t>James H. Miller</w:t>
            </w:r>
          </w:p>
        </w:tc>
        <w:tc>
          <w:tcPr>
            <w:tcW w:w="4920" w:type="dxa"/>
            <w:vAlign w:val="bottom"/>
          </w:tcPr>
          <w:p>
            <w:pPr>
              <w:spacing w:after="0"/>
              <w:rPr>
                <w:sz w:val="15"/>
                <w:szCs w:val="15"/>
                <w:color w:val="auto"/>
              </w:rPr>
            </w:pPr>
          </w:p>
        </w:tc>
        <w:tc>
          <w:tcPr>
            <w:tcW w:w="19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240"/>
          </w:cols>
          <w:pgMar w:left="320" w:top="144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9"/>
          <w:szCs w:val="19"/>
          <w:b w:val="1"/>
          <w:bCs w:val="1"/>
          <w:color w:val="auto"/>
        </w:rPr>
        <w:t>EXHIBIT 10.21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PURCHASE AND SALE AGREEMENT</w:t>
      </w:r>
    </w:p>
    <w:p>
      <w:pPr>
        <w:spacing w:after="0" w:line="200" w:lineRule="exact"/>
        <w:rPr>
          <w:sz w:val="20"/>
          <w:szCs w:val="20"/>
          <w:color w:val="auto"/>
        </w:rPr>
      </w:pPr>
    </w:p>
    <w:p>
      <w:pPr>
        <w:spacing w:after="0" w:line="361" w:lineRule="exact"/>
        <w:rPr>
          <w:sz w:val="20"/>
          <w:szCs w:val="20"/>
          <w:color w:val="auto"/>
        </w:rPr>
      </w:pPr>
    </w:p>
    <w:p>
      <w:pPr>
        <w:jc w:val="both"/>
        <w:ind w:firstLine="629"/>
        <w:spacing w:after="0" w:line="266" w:lineRule="auto"/>
        <w:rPr>
          <w:sz w:val="20"/>
          <w:szCs w:val="20"/>
          <w:color w:val="auto"/>
        </w:rPr>
      </w:pPr>
      <w:r>
        <w:rPr>
          <w:rFonts w:ascii="Arial" w:cs="Arial" w:eastAsia="Arial" w:hAnsi="Arial"/>
          <w:sz w:val="19"/>
          <w:szCs w:val="19"/>
          <w:color w:val="auto"/>
        </w:rPr>
        <w:t>THIS PURCHASE AND SALE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June 9, 2022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 between MATRIX SERVICE INC., an Oklahoma corporation (“</w:t>
      </w:r>
      <w:r>
        <w:rPr>
          <w:rFonts w:ascii="Arial" w:cs="Arial" w:eastAsia="Arial" w:hAnsi="Arial"/>
          <w:sz w:val="19"/>
          <w:szCs w:val="19"/>
          <w:u w:val="single" w:color="auto"/>
          <w:color w:val="auto"/>
        </w:rPr>
        <w:t>Seller</w:t>
      </w:r>
      <w:r>
        <w:rPr>
          <w:rFonts w:ascii="Arial" w:cs="Arial" w:eastAsia="Arial" w:hAnsi="Arial"/>
          <w:sz w:val="19"/>
          <w:szCs w:val="19"/>
          <w:color w:val="auto"/>
        </w:rPr>
        <w:t>”), and PISCES LOGISTICS ACQUISITION LLC, a Delaware limited liability company (“</w:t>
      </w:r>
      <w:r>
        <w:rPr>
          <w:rFonts w:ascii="Arial" w:cs="Arial" w:eastAsia="Arial" w:hAnsi="Arial"/>
          <w:sz w:val="19"/>
          <w:szCs w:val="19"/>
          <w:u w:val="single" w:color="auto"/>
          <w:color w:val="auto"/>
        </w:rPr>
        <w:t>Purchaser</w:t>
      </w:r>
      <w:r>
        <w:rPr>
          <w:rFonts w:ascii="Arial" w:cs="Arial" w:eastAsia="Arial" w:hAnsi="Arial"/>
          <w:sz w:val="19"/>
          <w:szCs w:val="19"/>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A. Seller is the owner of certain real property and the improvements thereon located in Orange County, California; and</w:t>
      </w:r>
    </w:p>
    <w:p>
      <w:pPr>
        <w:spacing w:after="0" w:line="162" w:lineRule="exact"/>
        <w:rPr>
          <w:sz w:val="20"/>
          <w:szCs w:val="20"/>
          <w:color w:val="auto"/>
        </w:rPr>
      </w:pPr>
    </w:p>
    <w:p>
      <w:pPr>
        <w:jc w:val="both"/>
        <w:ind w:firstLine="1259"/>
        <w:spacing w:after="0" w:line="288" w:lineRule="auto"/>
        <w:rPr>
          <w:sz w:val="20"/>
          <w:szCs w:val="20"/>
          <w:color w:val="auto"/>
        </w:rPr>
      </w:pPr>
      <w:r>
        <w:rPr>
          <w:rFonts w:ascii="Arial" w:cs="Arial" w:eastAsia="Arial" w:hAnsi="Arial"/>
          <w:sz w:val="19"/>
          <w:szCs w:val="19"/>
          <w:color w:val="auto"/>
        </w:rPr>
        <w:t xml:space="preserve">B. Seller desires to sell to Purchaser, and Purchaser desires to purchase from Seller, the Property (as defined in </w:t>
      </w:r>
      <w:r>
        <w:rPr>
          <w:rFonts w:ascii="Arial" w:cs="Arial" w:eastAsia="Arial" w:hAnsi="Arial"/>
          <w:sz w:val="19"/>
          <w:szCs w:val="19"/>
          <w:u w:val="single" w:color="auto"/>
          <w:color w:val="auto"/>
        </w:rPr>
        <w:t>Section 1</w:t>
      </w:r>
      <w:r>
        <w:rPr>
          <w:rFonts w:ascii="Arial" w:cs="Arial" w:eastAsia="Arial" w:hAnsi="Arial"/>
          <w:sz w:val="19"/>
          <w:szCs w:val="19"/>
          <w:color w:val="auto"/>
        </w:rPr>
        <w:t>) upon the terms and conditions set forth in this Agreement.</w:t>
      </w:r>
    </w:p>
    <w:p>
      <w:pPr>
        <w:spacing w:after="0" w:line="92" w:lineRule="exact"/>
        <w:rPr>
          <w:sz w:val="20"/>
          <w:szCs w:val="20"/>
          <w:color w:val="auto"/>
        </w:rPr>
      </w:pPr>
    </w:p>
    <w:p>
      <w:pPr>
        <w:jc w:val="both"/>
        <w:ind w:firstLine="1259"/>
        <w:spacing w:after="0" w:line="318" w:lineRule="auto"/>
        <w:rPr>
          <w:sz w:val="20"/>
          <w:szCs w:val="20"/>
          <w:color w:val="auto"/>
        </w:rPr>
      </w:pPr>
      <w:r>
        <w:rPr>
          <w:rFonts w:ascii="Arial" w:cs="Arial" w:eastAsia="Arial" w:hAnsi="Arial"/>
          <w:sz w:val="18"/>
          <w:szCs w:val="18"/>
          <w:color w:val="auto"/>
        </w:rPr>
        <w:t>NOW, THEREFORE, in consideration of the foregoing, of the covenants, promises, and undertakings set forth herein, and for other good and valuable consideration, the receipt and sufficiency of which are acknowledged, Seller and Purchaser agree as follows:</w:t>
      </w:r>
    </w:p>
    <w:p>
      <w:pPr>
        <w:spacing w:after="0" w:line="81" w:lineRule="exact"/>
        <w:rPr>
          <w:sz w:val="20"/>
          <w:szCs w:val="20"/>
          <w:color w:val="auto"/>
        </w:rPr>
      </w:pPr>
    </w:p>
    <w:p>
      <w:pPr>
        <w:ind w:left="640" w:hanging="320"/>
        <w:spacing w:after="0"/>
        <w:tabs>
          <w:tab w:leader="none" w:pos="64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Sale</w:t>
      </w:r>
      <w:r>
        <w:rPr>
          <w:rFonts w:ascii="Arial" w:cs="Arial" w:eastAsia="Arial" w:hAnsi="Arial"/>
          <w:sz w:val="19"/>
          <w:szCs w:val="19"/>
          <w:color w:val="auto"/>
        </w:rPr>
        <w:t>. Subject to the terms and conditions of this Agreement, Seller shall sell, and Purchaser shall purchase the following:</w:t>
      </w:r>
    </w:p>
    <w:p>
      <w:pPr>
        <w:spacing w:after="0" w:line="161" w:lineRule="exact"/>
        <w:rPr>
          <w:rFonts w:ascii="Arial" w:cs="Arial" w:eastAsia="Arial" w:hAnsi="Arial"/>
          <w:sz w:val="19"/>
          <w:szCs w:val="19"/>
          <w:color w:val="auto"/>
        </w:rPr>
      </w:pPr>
    </w:p>
    <w:p>
      <w:pPr>
        <w:ind w:left="640"/>
        <w:spacing w:after="0" w:line="288" w:lineRule="auto"/>
        <w:rPr>
          <w:rFonts w:ascii="Arial" w:cs="Arial" w:eastAsia="Arial" w:hAnsi="Arial"/>
          <w:sz w:val="19"/>
          <w:szCs w:val="19"/>
          <w:color w:val="auto"/>
        </w:rPr>
      </w:pPr>
      <w:r>
        <w:rPr>
          <w:rFonts w:ascii="Arial" w:cs="Arial" w:eastAsia="Arial" w:hAnsi="Arial"/>
          <w:sz w:val="19"/>
          <w:szCs w:val="19"/>
          <w:color w:val="auto"/>
        </w:rPr>
        <w:t xml:space="preserve">1.1 that certain real property located in Orange County, California, which is more particularly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together with all improvements and rights thereto (the “</w:t>
      </w:r>
      <w:r>
        <w:rPr>
          <w:rFonts w:ascii="Arial" w:cs="Arial" w:eastAsia="Arial" w:hAnsi="Arial"/>
          <w:sz w:val="19"/>
          <w:szCs w:val="19"/>
          <w:u w:val="single" w:color="auto"/>
          <w:color w:val="auto"/>
        </w:rPr>
        <w:t>Land</w:t>
      </w:r>
      <w:r>
        <w:rPr>
          <w:rFonts w:ascii="Arial" w:cs="Arial" w:eastAsia="Arial" w:hAnsi="Arial"/>
          <w:sz w:val="19"/>
          <w:szCs w:val="19"/>
          <w:color w:val="auto"/>
        </w:rPr>
        <w:t>”);</w:t>
      </w:r>
    </w:p>
    <w:p>
      <w:pPr>
        <w:spacing w:after="0" w:line="91" w:lineRule="exact"/>
        <w:rPr>
          <w:rFonts w:ascii="Arial" w:cs="Arial" w:eastAsia="Arial" w:hAnsi="Arial"/>
          <w:sz w:val="19"/>
          <w:szCs w:val="19"/>
          <w:color w:val="auto"/>
        </w:rPr>
      </w:pPr>
    </w:p>
    <w:p>
      <w:pPr>
        <w:jc w:val="both"/>
        <w:ind w:left="640"/>
        <w:spacing w:after="0" w:line="274" w:lineRule="auto"/>
        <w:rPr>
          <w:rFonts w:ascii="Arial" w:cs="Arial" w:eastAsia="Arial" w:hAnsi="Arial"/>
          <w:sz w:val="19"/>
          <w:szCs w:val="19"/>
          <w:color w:val="auto"/>
        </w:rPr>
      </w:pPr>
      <w:r>
        <w:rPr>
          <w:rFonts w:ascii="Arial" w:cs="Arial" w:eastAsia="Arial" w:hAnsi="Arial"/>
          <w:sz w:val="19"/>
          <w:szCs w:val="19"/>
          <w:color w:val="auto"/>
        </w:rPr>
        <w:t>1.2 all right, title and interest of Seller in and to all streets, alleys easements and rights of way in, on, across, in front of, abutting or adjoining the Land and any other appurtenances belonging thereto, including without limitation all oil, gas and other minerals located in, on or under the Land, if any (collectively the “</w:t>
      </w:r>
      <w:r>
        <w:rPr>
          <w:rFonts w:ascii="Arial" w:cs="Arial" w:eastAsia="Arial" w:hAnsi="Arial"/>
          <w:sz w:val="19"/>
          <w:szCs w:val="19"/>
          <w:u w:val="single" w:color="auto"/>
          <w:color w:val="auto"/>
        </w:rPr>
        <w:t>Appurtenances</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640"/>
        <w:spacing w:after="0" w:line="318" w:lineRule="auto"/>
        <w:rPr>
          <w:rFonts w:ascii="Arial" w:cs="Arial" w:eastAsia="Arial" w:hAnsi="Arial"/>
          <w:sz w:val="19"/>
          <w:szCs w:val="19"/>
          <w:color w:val="auto"/>
        </w:rPr>
      </w:pPr>
      <w:r>
        <w:rPr>
          <w:rFonts w:ascii="Arial" w:cs="Arial" w:eastAsia="Arial" w:hAnsi="Arial"/>
          <w:sz w:val="18"/>
          <w:szCs w:val="18"/>
          <w:color w:val="auto"/>
        </w:rPr>
        <w:t>1.3 all right, title and interest of Seller in and to all buildings, canopies, fixtures, structures, sidewalks, access ways, landscaping and other improvements including mechanical, electrical, and plumbing systems located on the Land (the “Improvements”); and</w:t>
      </w:r>
    </w:p>
    <w:p>
      <w:pPr>
        <w:spacing w:after="0" w:line="67" w:lineRule="exact"/>
        <w:rPr>
          <w:rFonts w:ascii="Arial" w:cs="Arial" w:eastAsia="Arial" w:hAnsi="Arial"/>
          <w:sz w:val="19"/>
          <w:szCs w:val="19"/>
          <w:color w:val="auto"/>
        </w:rPr>
      </w:pPr>
    </w:p>
    <w:p>
      <w:pPr>
        <w:jc w:val="both"/>
        <w:ind w:left="640"/>
        <w:spacing w:after="0" w:line="264" w:lineRule="auto"/>
        <w:rPr>
          <w:rFonts w:ascii="Arial" w:cs="Arial" w:eastAsia="Arial" w:hAnsi="Arial"/>
          <w:sz w:val="19"/>
          <w:szCs w:val="19"/>
          <w:color w:val="auto"/>
        </w:rPr>
      </w:pPr>
      <w:r>
        <w:rPr>
          <w:rFonts w:ascii="Arial" w:cs="Arial" w:eastAsia="Arial" w:hAnsi="Arial"/>
          <w:sz w:val="19"/>
          <w:szCs w:val="19"/>
          <w:color w:val="auto"/>
        </w:rPr>
        <w:t>1.4 all of Seller’s right, title and interest, if any, in all (a) warranties and guaranties relating to the Land or the Improvements, (b) all licenses, permits and approvals relating to the Land or the Improvements (but not any licenses, permits or approvals relating to Seller’s operations on the Land), and (c) all plans and specifications relating to the Land and the, Improvements, in each case to the extent that Seller may legally transfer the same (the “</w:t>
      </w:r>
      <w:r>
        <w:rPr>
          <w:rFonts w:ascii="Arial" w:cs="Arial" w:eastAsia="Arial" w:hAnsi="Arial"/>
          <w:sz w:val="19"/>
          <w:szCs w:val="19"/>
          <w:u w:val="single" w:color="auto"/>
          <w:color w:val="auto"/>
        </w:rPr>
        <w:t>Intangible Property</w:t>
      </w:r>
      <w:r>
        <w:rPr>
          <w:rFonts w:ascii="Arial" w:cs="Arial" w:eastAsia="Arial" w:hAnsi="Arial"/>
          <w:sz w:val="19"/>
          <w:szCs w:val="19"/>
          <w:color w:val="auto"/>
        </w:rPr>
        <w:t>”).</w:t>
      </w:r>
    </w:p>
    <w:p>
      <w:pPr>
        <w:spacing w:after="0" w:line="127" w:lineRule="exact"/>
        <w:rPr>
          <w:rFonts w:ascii="Arial" w:cs="Arial" w:eastAsia="Arial" w:hAnsi="Arial"/>
          <w:sz w:val="19"/>
          <w:szCs w:val="19"/>
          <w:color w:val="auto"/>
        </w:rPr>
      </w:pPr>
    </w:p>
    <w:p>
      <w:pPr>
        <w:jc w:val="both"/>
        <w:ind w:left="640"/>
        <w:spacing w:after="0" w:line="299" w:lineRule="auto"/>
        <w:rPr>
          <w:rFonts w:ascii="Arial" w:cs="Arial" w:eastAsia="Arial" w:hAnsi="Arial"/>
          <w:sz w:val="19"/>
          <w:szCs w:val="19"/>
          <w:color w:val="auto"/>
        </w:rPr>
      </w:pPr>
      <w:r>
        <w:rPr>
          <w:rFonts w:ascii="Arial" w:cs="Arial" w:eastAsia="Arial" w:hAnsi="Arial"/>
          <w:sz w:val="17"/>
          <w:szCs w:val="17"/>
          <w:color w:val="auto"/>
        </w:rPr>
        <w:t>The Land, Appurtenances, Improvements, and Intangible Property are hereinafter collectively called the “</w:t>
      </w:r>
      <w:r>
        <w:rPr>
          <w:rFonts w:ascii="Arial" w:cs="Arial" w:eastAsia="Arial" w:hAnsi="Arial"/>
          <w:sz w:val="17"/>
          <w:szCs w:val="17"/>
          <w:u w:val="single" w:color="auto"/>
          <w:color w:val="auto"/>
        </w:rPr>
        <w:t>Property</w:t>
      </w:r>
      <w:r>
        <w:rPr>
          <w:rFonts w:ascii="Arial" w:cs="Arial" w:eastAsia="Arial" w:hAnsi="Arial"/>
          <w:sz w:val="17"/>
          <w:szCs w:val="17"/>
          <w:color w:val="auto"/>
        </w:rPr>
        <w:t>.” For purposes of clarification, Seller and Purchaser acknowledge and agree that all personal property including bridge cranes and other trade fixtures located on the Property is being retained by Seller. Seller shall have the right to keep the personal property on the Property after Closing, provided that, as a covenant that survives the Closing, the same shall be removed prior to the expiration of the term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76" w:right="339" w:bottom="1440" w:gutter="0" w:footer="0" w:header="0"/>
        </w:sectPr>
      </w:pPr>
    </w:p>
    <w:bookmarkStart w:id="89" w:name="page90"/>
    <w:bookmarkEnd w:id="89"/>
    <w:p>
      <w:pPr>
        <w:spacing w:after="0" w:line="99" w:lineRule="exact"/>
        <w:rPr>
          <w:sz w:val="20"/>
          <w:szCs w:val="20"/>
          <w:color w:val="auto"/>
        </w:rPr>
      </w:pPr>
    </w:p>
    <w:p>
      <w:pPr>
        <w:ind w:left="320" w:hanging="320"/>
        <w:spacing w:after="0"/>
        <w:tabs>
          <w:tab w:leader="none" w:pos="32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Price and Payment</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left="320"/>
        <w:spacing w:after="0" w:line="274" w:lineRule="auto"/>
        <w:rPr>
          <w:rFonts w:ascii="Arial" w:cs="Arial" w:eastAsia="Arial" w:hAnsi="Arial"/>
          <w:sz w:val="19"/>
          <w:szCs w:val="19"/>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for the Property is THIRTY-SEVEN MILLION, SIX HUNDRED SEVENTY-FOUR THOUSAND, TWO HUNDRED SEVENTY-ONE AND 53/100 DOLLARS ($37,674,271.53) (the “</w:t>
      </w:r>
      <w:r>
        <w:rPr>
          <w:rFonts w:ascii="Arial" w:cs="Arial" w:eastAsia="Arial" w:hAnsi="Arial"/>
          <w:sz w:val="19"/>
          <w:szCs w:val="19"/>
          <w:u w:val="single" w:color="auto"/>
          <w:color w:val="auto"/>
        </w:rPr>
        <w:t>Purchase Price</w:t>
      </w:r>
      <w:r>
        <w:rPr>
          <w:rFonts w:ascii="Arial" w:cs="Arial" w:eastAsia="Arial" w:hAnsi="Arial"/>
          <w:sz w:val="19"/>
          <w:szCs w:val="19"/>
          <w:color w:val="auto"/>
        </w:rPr>
        <w:t>”).</w:t>
      </w:r>
    </w:p>
    <w:p>
      <w:pPr>
        <w:spacing w:after="0" w:line="117"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u w:val="single" w:color="auto"/>
          <w:color w:val="auto"/>
        </w:rPr>
        <w:t>Payment</w:t>
      </w:r>
      <w:r>
        <w:rPr>
          <w:rFonts w:ascii="Arial" w:cs="Arial" w:eastAsia="Arial" w:hAnsi="Arial"/>
          <w:sz w:val="17"/>
          <w:szCs w:val="17"/>
          <w:color w:val="auto"/>
        </w:rPr>
        <w:t>. Subject to the terms of this Agreement, payment of the Purchase Price shall be made as follows:</w:t>
      </w:r>
    </w:p>
    <w:p>
      <w:pPr>
        <w:spacing w:after="0" w:line="162" w:lineRule="exact"/>
        <w:rPr>
          <w:sz w:val="20"/>
          <w:szCs w:val="20"/>
          <w:color w:val="auto"/>
        </w:rPr>
      </w:pPr>
    </w:p>
    <w:p>
      <w:pPr>
        <w:jc w:val="both"/>
        <w:ind w:left="940"/>
        <w:spacing w:after="0" w:line="288" w:lineRule="auto"/>
        <w:rPr>
          <w:sz w:val="20"/>
          <w:szCs w:val="20"/>
          <w:color w:val="auto"/>
        </w:rPr>
      </w:pPr>
      <w:r>
        <w:rPr>
          <w:rFonts w:ascii="Arial" w:cs="Arial" w:eastAsia="Arial" w:hAnsi="Arial"/>
          <w:sz w:val="19"/>
          <w:szCs w:val="19"/>
          <w:color w:val="auto"/>
        </w:rPr>
        <w:t>2.2.1 Within three (3) business days of the Effective Date, an earnest money deposit of $1,500,000.00 (the “</w:t>
      </w:r>
      <w:r>
        <w:rPr>
          <w:rFonts w:ascii="Arial" w:cs="Arial" w:eastAsia="Arial" w:hAnsi="Arial"/>
          <w:sz w:val="19"/>
          <w:szCs w:val="19"/>
          <w:u w:val="single" w:color="auto"/>
          <w:color w:val="auto"/>
        </w:rPr>
        <w:t>Deposit</w:t>
      </w:r>
      <w:r>
        <w:rPr>
          <w:rFonts w:ascii="Arial" w:cs="Arial" w:eastAsia="Arial" w:hAnsi="Arial"/>
          <w:sz w:val="19"/>
          <w:szCs w:val="19"/>
          <w:color w:val="auto"/>
        </w:rPr>
        <w:t xml:space="preserve">”), by wire transfer of immediately available funds to the Title Company (as defined in </w:t>
      </w:r>
      <w:r>
        <w:rPr>
          <w:rFonts w:ascii="Arial" w:cs="Arial" w:eastAsia="Arial" w:hAnsi="Arial"/>
          <w:sz w:val="19"/>
          <w:szCs w:val="19"/>
          <w:u w:val="single" w:color="auto"/>
          <w:color w:val="auto"/>
        </w:rPr>
        <w:t>Section 2.3</w:t>
      </w:r>
      <w:r>
        <w:rPr>
          <w:rFonts w:ascii="Arial" w:cs="Arial" w:eastAsia="Arial" w:hAnsi="Arial"/>
          <w:sz w:val="19"/>
          <w:szCs w:val="19"/>
          <w:color w:val="auto"/>
        </w:rPr>
        <w:t>); and</w:t>
      </w:r>
    </w:p>
    <w:p>
      <w:pPr>
        <w:spacing w:after="0" w:line="105" w:lineRule="exact"/>
        <w:rPr>
          <w:sz w:val="20"/>
          <w:szCs w:val="20"/>
          <w:color w:val="auto"/>
        </w:rPr>
      </w:pPr>
    </w:p>
    <w:p>
      <w:pPr>
        <w:jc w:val="both"/>
        <w:ind w:left="940"/>
        <w:spacing w:after="0" w:line="266" w:lineRule="auto"/>
        <w:rPr>
          <w:sz w:val="20"/>
          <w:szCs w:val="20"/>
          <w:color w:val="auto"/>
        </w:rPr>
      </w:pPr>
      <w:r>
        <w:rPr>
          <w:rFonts w:ascii="Arial" w:cs="Arial" w:eastAsia="Arial" w:hAnsi="Arial"/>
          <w:sz w:val="19"/>
          <w:szCs w:val="19"/>
          <w:color w:val="auto"/>
        </w:rPr>
        <w:t xml:space="preserve">2.2.2 Upon Closing (as defined in </w:t>
      </w:r>
      <w:r>
        <w:rPr>
          <w:rFonts w:ascii="Arial" w:cs="Arial" w:eastAsia="Arial" w:hAnsi="Arial"/>
          <w:sz w:val="19"/>
          <w:szCs w:val="19"/>
          <w:u w:val="single" w:color="auto"/>
          <w:color w:val="auto"/>
        </w:rPr>
        <w:t>Section 2.3</w:t>
      </w:r>
      <w:r>
        <w:rPr>
          <w:rFonts w:ascii="Arial" w:cs="Arial" w:eastAsia="Arial" w:hAnsi="Arial"/>
          <w:sz w:val="19"/>
          <w:szCs w:val="19"/>
          <w:color w:val="auto"/>
        </w:rPr>
        <w:t>), an amount equal to the Purchase Price less the sum of the Deposit, subject to adjustment for the prorations as provided herein, by wire transfer of immediately available funds to a bank account or accounts designated by the Title Company for further disbursement to Seller in connection with the Closing.</w:t>
      </w:r>
    </w:p>
    <w:p>
      <w:pPr>
        <w:spacing w:after="0" w:line="113" w:lineRule="exact"/>
        <w:rPr>
          <w:sz w:val="20"/>
          <w:szCs w:val="20"/>
          <w:color w:val="auto"/>
        </w:rPr>
      </w:pPr>
    </w:p>
    <w:p>
      <w:pPr>
        <w:jc w:val="both"/>
        <w:ind w:left="320"/>
        <w:spacing w:after="0" w:line="264"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purchase and sale hereunder (the “</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on or before June 22, 2022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through the exchange of documents and funds at the offices of Chicago Title Company at 725 South Figueroa Street, Suite 200, Los Angeles, California 90017, Attention: Michael Slinger (the “</w:t>
      </w:r>
      <w:r>
        <w:rPr>
          <w:rFonts w:ascii="Arial" w:cs="Arial" w:eastAsia="Arial" w:hAnsi="Arial"/>
          <w:sz w:val="19"/>
          <w:szCs w:val="19"/>
          <w:u w:val="single" w:color="auto"/>
          <w:color w:val="auto"/>
        </w:rPr>
        <w:t>Title Company</w:t>
      </w:r>
      <w:r>
        <w:rPr>
          <w:rFonts w:ascii="Arial" w:cs="Arial" w:eastAsia="Arial" w:hAnsi="Arial"/>
          <w:sz w:val="19"/>
          <w:szCs w:val="19"/>
          <w:color w:val="auto"/>
        </w:rPr>
        <w:t>”), or at such other time and place as may be agreed upon in writing by Seller and Purchaser.</w:t>
      </w:r>
    </w:p>
    <w:p>
      <w:pPr>
        <w:spacing w:after="0" w:line="127" w:lineRule="exact"/>
        <w:rPr>
          <w:sz w:val="20"/>
          <w:szCs w:val="20"/>
          <w:color w:val="auto"/>
        </w:rPr>
      </w:pPr>
    </w:p>
    <w:p>
      <w:pPr>
        <w:jc w:val="both"/>
        <w:ind w:left="320"/>
        <w:spacing w:after="0" w:line="274"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Title Company</w:t>
      </w:r>
      <w:r>
        <w:rPr>
          <w:rFonts w:ascii="Arial" w:cs="Arial" w:eastAsia="Arial" w:hAnsi="Arial"/>
          <w:sz w:val="19"/>
          <w:szCs w:val="19"/>
          <w:color w:val="auto"/>
        </w:rPr>
        <w:t>. The Title Company hereby agrees to accept and hold the Deposit in escrow and dispose of the Deposit in accordance with the following provisions:</w:t>
      </w:r>
    </w:p>
    <w:p>
      <w:pPr>
        <w:spacing w:after="0" w:line="117" w:lineRule="exact"/>
        <w:rPr>
          <w:sz w:val="20"/>
          <w:szCs w:val="20"/>
          <w:color w:val="auto"/>
        </w:rPr>
      </w:pPr>
    </w:p>
    <w:p>
      <w:pPr>
        <w:jc w:val="both"/>
        <w:ind w:left="940"/>
        <w:spacing w:after="0" w:line="266" w:lineRule="auto"/>
        <w:rPr>
          <w:sz w:val="20"/>
          <w:szCs w:val="20"/>
          <w:color w:val="auto"/>
        </w:rPr>
      </w:pPr>
      <w:r>
        <w:rPr>
          <w:rFonts w:ascii="Arial" w:cs="Arial" w:eastAsia="Arial" w:hAnsi="Arial"/>
          <w:sz w:val="19"/>
          <w:szCs w:val="19"/>
          <w:color w:val="auto"/>
        </w:rPr>
        <w:t>2.4.1 The Title Company shall place the Deposit in a bank account in the continental United States. Except as otherwise provided in this Agreement, the Deposit shall be applied to the Purchase Price at Closing. The Title Company is not required to place the Deposit into an interest-bearing account.</w:t>
      </w:r>
    </w:p>
    <w:p>
      <w:pPr>
        <w:spacing w:after="0" w:line="126"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9"/>
          <w:szCs w:val="19"/>
          <w:color w:val="auto"/>
        </w:rPr>
        <w:t>2.4.2</w:t>
      </w:r>
      <w:r>
        <w:rPr>
          <w:sz w:val="20"/>
          <w:szCs w:val="20"/>
          <w:color w:val="auto"/>
        </w:rPr>
        <w:tab/>
      </w:r>
      <w:r>
        <w:rPr>
          <w:rFonts w:ascii="Arial" w:cs="Arial" w:eastAsia="Arial" w:hAnsi="Arial"/>
          <w:sz w:val="17"/>
          <w:szCs w:val="17"/>
          <w:color w:val="auto"/>
        </w:rPr>
        <w:t>The Title Company shall deliver the Deposit to Seller or to Purchaser, as the case may be, under the following conditions:</w:t>
      </w:r>
    </w:p>
    <w:p>
      <w:pPr>
        <w:spacing w:after="0" w:line="162" w:lineRule="exact"/>
        <w:rPr>
          <w:sz w:val="20"/>
          <w:szCs w:val="20"/>
          <w:color w:val="auto"/>
        </w:rPr>
      </w:pPr>
    </w:p>
    <w:p>
      <w:pPr>
        <w:ind w:left="1980" w:hanging="407"/>
        <w:spacing w:after="0"/>
        <w:tabs>
          <w:tab w:leader="none" w:pos="19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Seller on the date of and upon the consummation of the Closing.</w:t>
      </w:r>
    </w:p>
    <w:p>
      <w:pPr>
        <w:spacing w:after="0" w:line="174" w:lineRule="exact"/>
        <w:rPr>
          <w:rFonts w:ascii="Arial" w:cs="Arial" w:eastAsia="Arial" w:hAnsi="Arial"/>
          <w:sz w:val="19"/>
          <w:szCs w:val="19"/>
          <w:color w:val="auto"/>
        </w:rPr>
      </w:pPr>
    </w:p>
    <w:p>
      <w:pPr>
        <w:jc w:val="both"/>
        <w:ind w:left="1580" w:hanging="7"/>
        <w:spacing w:after="0" w:line="276" w:lineRule="auto"/>
        <w:tabs>
          <w:tab w:leader="none" w:pos="21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Seller upon receipt of written demand therefor (“</w:t>
      </w:r>
      <w:r>
        <w:rPr>
          <w:rFonts w:ascii="Arial" w:cs="Arial" w:eastAsia="Arial" w:hAnsi="Arial"/>
          <w:sz w:val="18"/>
          <w:szCs w:val="18"/>
          <w:u w:val="single" w:color="auto"/>
          <w:color w:val="auto"/>
        </w:rPr>
        <w:t>Seller’s Demand for Deposit</w:t>
      </w:r>
      <w:r>
        <w:rPr>
          <w:rFonts w:ascii="Arial" w:cs="Arial" w:eastAsia="Arial" w:hAnsi="Arial"/>
          <w:sz w:val="18"/>
          <w:szCs w:val="18"/>
          <w:color w:val="auto"/>
        </w:rPr>
        <w:t xml:space="preserve">”) stating that Purchaser has defaulted in the performance of Purchaser’s obligation to close under this Agreement and the facts and circumstances underlying such default; provided, however, that the Title Company shall not honor such demand until more than five (5) business days after the Title Company shall have sent a copy of such demand to Purchaser in accordance with the provisions of </w:t>
      </w:r>
      <w:r>
        <w:rPr>
          <w:rFonts w:ascii="Arial" w:cs="Arial" w:eastAsia="Arial" w:hAnsi="Arial"/>
          <w:sz w:val="18"/>
          <w:szCs w:val="18"/>
          <w:u w:val="single" w:color="auto"/>
          <w:color w:val="auto"/>
        </w:rPr>
        <w:t>Section 2.4.3</w:t>
      </w:r>
      <w:r>
        <w:rPr>
          <w:rFonts w:ascii="Arial" w:cs="Arial" w:eastAsia="Arial" w:hAnsi="Arial"/>
          <w:sz w:val="18"/>
          <w:szCs w:val="18"/>
          <w:color w:val="auto"/>
        </w:rPr>
        <w:t xml:space="preserve"> or thereafter if the Title Company shall have received a “</w:t>
      </w:r>
      <w:r>
        <w:rPr>
          <w:rFonts w:ascii="Arial" w:cs="Arial" w:eastAsia="Arial" w:hAnsi="Arial"/>
          <w:sz w:val="18"/>
          <w:szCs w:val="18"/>
          <w:u w:val="single" w:color="auto"/>
          <w:color w:val="auto"/>
        </w:rPr>
        <w:t>Notice of Objection</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2.4.3</w:t>
      </w:r>
      <w:r>
        <w:rPr>
          <w:rFonts w:ascii="Arial" w:cs="Arial" w:eastAsia="Arial" w:hAnsi="Arial"/>
          <w:sz w:val="18"/>
          <w:szCs w:val="18"/>
          <w:color w:val="auto"/>
        </w:rPr>
        <w:t>) from Purchaser within such five (5) business day period.</w:t>
      </w:r>
    </w:p>
    <w:p>
      <w:pPr>
        <w:spacing w:after="0" w:line="106" w:lineRule="exact"/>
        <w:rPr>
          <w:rFonts w:ascii="Arial" w:cs="Arial" w:eastAsia="Arial" w:hAnsi="Arial"/>
          <w:sz w:val="18"/>
          <w:szCs w:val="18"/>
          <w:color w:val="auto"/>
        </w:rPr>
      </w:pPr>
    </w:p>
    <w:p>
      <w:pPr>
        <w:jc w:val="both"/>
        <w:ind w:left="1580" w:hanging="7"/>
        <w:spacing w:after="0" w:line="264" w:lineRule="auto"/>
        <w:tabs>
          <w:tab w:leader="none" w:pos="2144"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Purchaser upon receipt of written demand therefor (“</w:t>
      </w:r>
      <w:r>
        <w:rPr>
          <w:rFonts w:ascii="Arial" w:cs="Arial" w:eastAsia="Arial" w:hAnsi="Arial"/>
          <w:sz w:val="19"/>
          <w:szCs w:val="19"/>
          <w:u w:val="single" w:color="auto"/>
          <w:color w:val="auto"/>
        </w:rPr>
        <w:t>Purchaser’s Demand for Deposit</w:t>
      </w:r>
      <w:r>
        <w:rPr>
          <w:rFonts w:ascii="Arial" w:cs="Arial" w:eastAsia="Arial" w:hAnsi="Arial"/>
          <w:sz w:val="19"/>
          <w:szCs w:val="19"/>
          <w:color w:val="auto"/>
        </w:rPr>
        <w:t>”) stating that this Agreement has been terminated in accordance with the provisions hereof, or that Seller has defaulted in the performance of any of Seller’s obligations under this Agreement, and the facts and circumstances underlying the same; provided, however, that the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920"/>
          </w:cols>
          <w:pgMar w:left="640" w:top="1440" w:right="339" w:bottom="1440" w:gutter="0" w:footer="0" w:header="0"/>
        </w:sectPr>
      </w:pPr>
    </w:p>
    <w:bookmarkStart w:id="90" w:name="page91"/>
    <w:bookmarkEnd w:id="90"/>
    <w:p>
      <w:pPr>
        <w:spacing w:after="0" w:line="99" w:lineRule="exact"/>
        <w:rPr>
          <w:sz w:val="20"/>
          <w:szCs w:val="20"/>
          <w:color w:val="auto"/>
        </w:rPr>
      </w:pPr>
    </w:p>
    <w:p>
      <w:pPr>
        <w:jc w:val="both"/>
        <w:ind w:left="780"/>
        <w:spacing w:after="0" w:line="288" w:lineRule="auto"/>
        <w:rPr>
          <w:sz w:val="20"/>
          <w:szCs w:val="20"/>
          <w:color w:val="auto"/>
        </w:rPr>
      </w:pPr>
      <w:r>
        <w:rPr>
          <w:rFonts w:ascii="Arial" w:cs="Arial" w:eastAsia="Arial" w:hAnsi="Arial"/>
          <w:sz w:val="18"/>
          <w:szCs w:val="18"/>
          <w:color w:val="auto"/>
        </w:rPr>
        <w:t xml:space="preserve">Company shall not honor such demand until more than five (5) business days after the Title Company shall have sent a copy of such demand to Seller in accordance with the provisions of </w:t>
      </w:r>
      <w:r>
        <w:rPr>
          <w:rFonts w:ascii="Arial" w:cs="Arial" w:eastAsia="Arial" w:hAnsi="Arial"/>
          <w:sz w:val="18"/>
          <w:szCs w:val="18"/>
          <w:u w:val="single" w:color="auto"/>
          <w:color w:val="auto"/>
        </w:rPr>
        <w:t>Section 2.4.3</w:t>
      </w:r>
      <w:r>
        <w:rPr>
          <w:rFonts w:ascii="Arial" w:cs="Arial" w:eastAsia="Arial" w:hAnsi="Arial"/>
          <w:sz w:val="18"/>
          <w:szCs w:val="18"/>
          <w:color w:val="auto"/>
        </w:rPr>
        <w:t xml:space="preserve"> or thereafter if the Title Company shall have received a Notice of Objection from Seller within such five (5) business day period.</w:t>
      </w:r>
    </w:p>
    <w:p>
      <w:pPr>
        <w:spacing w:after="0" w:line="107" w:lineRule="exact"/>
        <w:rPr>
          <w:sz w:val="20"/>
          <w:szCs w:val="20"/>
          <w:color w:val="auto"/>
        </w:rPr>
      </w:pPr>
    </w:p>
    <w:p>
      <w:pPr>
        <w:jc w:val="both"/>
        <w:ind w:left="780" w:hanging="7"/>
        <w:spacing w:after="0" w:line="295" w:lineRule="auto"/>
        <w:tabs>
          <w:tab w:leader="none" w:pos="133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the Title Company shall immediately return the Deposit to Purchaser, without further instruction from either party in the event that the Title Company receives written notice from Purchaser on or before 5:00 p.m. PT on the Inspection Expiration Date (as defined in </w:t>
      </w:r>
      <w:r>
        <w:rPr>
          <w:rFonts w:ascii="Arial" w:cs="Arial" w:eastAsia="Arial" w:hAnsi="Arial"/>
          <w:sz w:val="17"/>
          <w:szCs w:val="17"/>
          <w:u w:val="single" w:color="auto"/>
          <w:color w:val="auto"/>
        </w:rPr>
        <w:t>Section 3.1.2</w:t>
      </w:r>
      <w:r>
        <w:rPr>
          <w:rFonts w:ascii="Arial" w:cs="Arial" w:eastAsia="Arial" w:hAnsi="Arial"/>
          <w:sz w:val="17"/>
          <w:szCs w:val="17"/>
          <w:color w:val="auto"/>
        </w:rPr>
        <w:t>) of Purchaser’s election to terminate this Agreement, without any requirement that the Title Company retain the Deposit pending receipt of a Notice of Objection from Seller. The foregoing sentence shall only be in effect until 5:00 p.m. PT on the Inspection Expiration Date, and thereafter shall no longer govern the handling of the Deposit by the Title Company.</w:t>
      </w:r>
    </w:p>
    <w:p>
      <w:pPr>
        <w:spacing w:after="0" w:line="93" w:lineRule="exact"/>
        <w:rPr>
          <w:sz w:val="20"/>
          <w:szCs w:val="20"/>
          <w:color w:val="auto"/>
        </w:rPr>
      </w:pPr>
    </w:p>
    <w:p>
      <w:pPr>
        <w:jc w:val="both"/>
        <w:ind w:left="140"/>
        <w:spacing w:after="0" w:line="293" w:lineRule="auto"/>
        <w:rPr>
          <w:sz w:val="20"/>
          <w:szCs w:val="20"/>
          <w:color w:val="auto"/>
        </w:rPr>
      </w:pPr>
      <w:r>
        <w:rPr>
          <w:rFonts w:ascii="Arial" w:cs="Arial" w:eastAsia="Arial" w:hAnsi="Arial"/>
          <w:sz w:val="17"/>
          <w:szCs w:val="17"/>
          <w:color w:val="auto"/>
        </w:rPr>
        <w:t xml:space="preserve">2.4.3 Subject to </w:t>
      </w:r>
      <w:r>
        <w:rPr>
          <w:rFonts w:ascii="Arial" w:cs="Arial" w:eastAsia="Arial" w:hAnsi="Arial"/>
          <w:sz w:val="17"/>
          <w:szCs w:val="17"/>
          <w:u w:val="single" w:color="auto"/>
          <w:color w:val="auto"/>
        </w:rPr>
        <w:t>Section 2.4.2(d)</w:t>
      </w:r>
      <w:r>
        <w:rPr>
          <w:rFonts w:ascii="Arial" w:cs="Arial" w:eastAsia="Arial" w:hAnsi="Arial"/>
          <w:sz w:val="17"/>
          <w:szCs w:val="17"/>
          <w:color w:val="auto"/>
        </w:rPr>
        <w:t xml:space="preserve">, within one business day of the receipt by the Title Company of a Seller’s Demand for Deposit or a Purchaser’s Demand for Deposit, the Title Company shall send a copy thereof to the other party by email transmission (with telephonic confirmation of receipt) and otherwise as provided in </w:t>
      </w:r>
      <w:r>
        <w:rPr>
          <w:rFonts w:ascii="Arial" w:cs="Arial" w:eastAsia="Arial" w:hAnsi="Arial"/>
          <w:sz w:val="17"/>
          <w:szCs w:val="17"/>
          <w:u w:val="single" w:color="auto"/>
          <w:color w:val="auto"/>
        </w:rPr>
        <w:t>Section 14</w:t>
      </w:r>
      <w:r>
        <w:rPr>
          <w:rFonts w:ascii="Arial" w:cs="Arial" w:eastAsia="Arial" w:hAnsi="Arial"/>
          <w:sz w:val="17"/>
          <w:szCs w:val="17"/>
          <w:color w:val="auto"/>
        </w:rPr>
        <w:t>. The other party shall have the right to object to the delivery of the Deposit by sending written notice (a “</w:t>
      </w:r>
      <w:r>
        <w:rPr>
          <w:rFonts w:ascii="Arial" w:cs="Arial" w:eastAsia="Arial" w:hAnsi="Arial"/>
          <w:sz w:val="17"/>
          <w:szCs w:val="17"/>
          <w:u w:val="single" w:color="auto"/>
          <w:color w:val="auto"/>
        </w:rPr>
        <w:t>Notice of Objection</w:t>
      </w:r>
      <w:r>
        <w:rPr>
          <w:rFonts w:ascii="Arial" w:cs="Arial" w:eastAsia="Arial" w:hAnsi="Arial"/>
          <w:sz w:val="17"/>
          <w:szCs w:val="17"/>
          <w:color w:val="auto"/>
        </w:rPr>
        <w:t xml:space="preserve">”) of such objection to the Title Company by email transmission (with telephonic confirmation of receipt) and otherwise as provided in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which Notice of Objection shall be deemed null and void and ineffective if such Notice of Objection is not received by the Title Company within the time periods prescribed in </w:t>
      </w:r>
      <w:r>
        <w:rPr>
          <w:rFonts w:ascii="Arial" w:cs="Arial" w:eastAsia="Arial" w:hAnsi="Arial"/>
          <w:sz w:val="17"/>
          <w:szCs w:val="17"/>
          <w:u w:val="single" w:color="auto"/>
          <w:color w:val="auto"/>
        </w:rPr>
        <w:t>Section 2.4.2</w:t>
      </w:r>
      <w:r>
        <w:rPr>
          <w:rFonts w:ascii="Arial" w:cs="Arial" w:eastAsia="Arial" w:hAnsi="Arial"/>
          <w:sz w:val="17"/>
          <w:szCs w:val="17"/>
          <w:color w:val="auto"/>
        </w:rPr>
        <w:t>. Such notice shall set forth the basis for objecting to the delivery of the Deposit. Upon receipt of a Notice of Objection, the Title Company shall promptly send a copy thereof to the party who sent the written demand for deposit.</w:t>
      </w:r>
    </w:p>
    <w:p>
      <w:pPr>
        <w:spacing w:after="0" w:line="97" w:lineRule="exact"/>
        <w:rPr>
          <w:sz w:val="20"/>
          <w:szCs w:val="20"/>
          <w:color w:val="auto"/>
        </w:rPr>
      </w:pPr>
    </w:p>
    <w:p>
      <w:pPr>
        <w:jc w:val="both"/>
        <w:ind w:left="140"/>
        <w:spacing w:after="0" w:line="291" w:lineRule="auto"/>
        <w:rPr>
          <w:sz w:val="20"/>
          <w:szCs w:val="20"/>
          <w:color w:val="auto"/>
        </w:rPr>
      </w:pPr>
      <w:r>
        <w:rPr>
          <w:rFonts w:ascii="Arial" w:cs="Arial" w:eastAsia="Arial" w:hAnsi="Arial"/>
          <w:sz w:val="17"/>
          <w:szCs w:val="17"/>
          <w:color w:val="auto"/>
        </w:rPr>
        <w:t xml:space="preserve">2.4.4 Subject to </w:t>
      </w:r>
      <w:r>
        <w:rPr>
          <w:rFonts w:ascii="Arial" w:cs="Arial" w:eastAsia="Arial" w:hAnsi="Arial"/>
          <w:sz w:val="17"/>
          <w:szCs w:val="17"/>
          <w:u w:val="single" w:color="auto"/>
          <w:color w:val="auto"/>
        </w:rPr>
        <w:t>Section 2.4.2(d)</w:t>
      </w:r>
      <w:r>
        <w:rPr>
          <w:rFonts w:ascii="Arial" w:cs="Arial" w:eastAsia="Arial" w:hAnsi="Arial"/>
          <w:sz w:val="17"/>
          <w:szCs w:val="17"/>
          <w:color w:val="auto"/>
        </w:rPr>
        <w:t xml:space="preserve">, in the event the Title Company shall have received the Notice of Objection within the time periods prescribed in </w:t>
      </w:r>
      <w:r>
        <w:rPr>
          <w:rFonts w:ascii="Arial" w:cs="Arial" w:eastAsia="Arial" w:hAnsi="Arial"/>
          <w:sz w:val="17"/>
          <w:szCs w:val="17"/>
          <w:u w:val="single" w:color="auto"/>
          <w:color w:val="auto"/>
        </w:rPr>
        <w:t>Section 2.4.2</w:t>
      </w:r>
      <w:r>
        <w:rPr>
          <w:rFonts w:ascii="Arial" w:cs="Arial" w:eastAsia="Arial" w:hAnsi="Arial"/>
          <w:sz w:val="17"/>
          <w:szCs w:val="17"/>
          <w:color w:val="auto"/>
        </w:rPr>
        <w:t>, the Title Company shall continue to hold the Deposit until (a) the Title Company receives joint written direction from Seller and Purchaser directing the disbursement of the Deposit, in which case the Title Company shall then disburse the Deposit in accordance with such direction, (b) in the event of litigation between Seller and Purchaser, the Title Company shall deliver the Deposit to the clerk of the court in which the litigation is pending, or (c) the Title Company takes such affirmative steps as the Title Company may, at the Title Company’s option, elect in order to terminate the Title Company’s duties including, but not limited to, depositing the Deposit in any court which the Title Company shall select in the State of California in an action for interpleader, with the costs thereof to be borne by whichever of Seller or Purchaser is the losing party.</w:t>
      </w:r>
    </w:p>
    <w:p>
      <w:pPr>
        <w:spacing w:after="0" w:line="110" w:lineRule="exact"/>
        <w:rPr>
          <w:sz w:val="20"/>
          <w:szCs w:val="20"/>
          <w:color w:val="auto"/>
        </w:rPr>
      </w:pPr>
    </w:p>
    <w:p>
      <w:pPr>
        <w:jc w:val="both"/>
        <w:ind w:left="140"/>
        <w:spacing w:after="0" w:line="277" w:lineRule="auto"/>
        <w:rPr>
          <w:sz w:val="20"/>
          <w:szCs w:val="20"/>
          <w:color w:val="auto"/>
        </w:rPr>
      </w:pPr>
      <w:r>
        <w:rPr>
          <w:rFonts w:ascii="Arial" w:cs="Arial" w:eastAsia="Arial" w:hAnsi="Arial"/>
          <w:sz w:val="18"/>
          <w:szCs w:val="18"/>
          <w:color w:val="auto"/>
        </w:rPr>
        <w:t>2.4.5 The Title Company may act upon any instrument or other writing believed by the Title Company in good faith to be genuine and to be signed and presented by the proper person, and shall not be liable in connection with the performance of any duties imposed upon the Title Company by the provisions of this Agreement, except for the Title Company’s willful misconduct or gross negligence. The Title Company shall have no duties or responsibilities except those set forth in this Agreement. The Title Company shall not be bound by any modification of this Agreement, unless (a) the same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120"/>
          </w:cols>
          <w:pgMar w:left="1440" w:top="1440" w:right="339" w:bottom="1440" w:gutter="0" w:footer="0" w:header="0"/>
        </w:sectPr>
      </w:pPr>
    </w:p>
    <w:bookmarkStart w:id="91" w:name="page92"/>
    <w:bookmarkEnd w:id="91"/>
    <w:p>
      <w:pPr>
        <w:spacing w:after="0" w:line="99" w:lineRule="exact"/>
        <w:rPr>
          <w:sz w:val="20"/>
          <w:szCs w:val="20"/>
          <w:color w:val="auto"/>
        </w:rPr>
      </w:pPr>
    </w:p>
    <w:p>
      <w:pPr>
        <w:jc w:val="both"/>
        <w:ind w:left="940"/>
        <w:spacing w:after="0" w:line="277" w:lineRule="auto"/>
        <w:rPr>
          <w:sz w:val="20"/>
          <w:szCs w:val="20"/>
          <w:color w:val="auto"/>
        </w:rPr>
      </w:pPr>
      <w:r>
        <w:rPr>
          <w:rFonts w:ascii="Arial" w:cs="Arial" w:eastAsia="Arial" w:hAnsi="Arial"/>
          <w:sz w:val="18"/>
          <w:szCs w:val="18"/>
          <w:color w:val="auto"/>
        </w:rPr>
        <w:t xml:space="preserve">writing and signed by Purchaser and Seller, and delivered to the Title Company and, (b) if the Title Company’s duties hereunder are affected, the Title Company shall have given prior written consent thereto. In the event that the Title Company shall be uncertain as to the Title Company’s duties or rights hereunder, or shall receive instructions from Purchaser or Seller which, in the Title Company’s opinion, are in conflict with any of the provisions hereof, the Title Company shall be entitled to hold and apply the Deposit pursuant to </w:t>
      </w:r>
      <w:r>
        <w:rPr>
          <w:rFonts w:ascii="Arial" w:cs="Arial" w:eastAsia="Arial" w:hAnsi="Arial"/>
          <w:sz w:val="18"/>
          <w:szCs w:val="18"/>
          <w:u w:val="single" w:color="auto"/>
          <w:color w:val="auto"/>
        </w:rPr>
        <w:t>Section 2.4.4</w:t>
      </w:r>
      <w:r>
        <w:rPr>
          <w:rFonts w:ascii="Arial" w:cs="Arial" w:eastAsia="Arial" w:hAnsi="Arial"/>
          <w:sz w:val="18"/>
          <w:szCs w:val="18"/>
          <w:color w:val="auto"/>
        </w:rPr>
        <w:t xml:space="preserve"> and may decline to take any other action.</w:t>
      </w:r>
    </w:p>
    <w:p>
      <w:pPr>
        <w:spacing w:after="0" w:line="117" w:lineRule="exact"/>
        <w:rPr>
          <w:sz w:val="20"/>
          <w:szCs w:val="20"/>
          <w:color w:val="auto"/>
        </w:rPr>
      </w:pPr>
    </w:p>
    <w:p>
      <w:pPr>
        <w:jc w:val="both"/>
        <w:ind w:left="940"/>
        <w:spacing w:after="0" w:line="276" w:lineRule="auto"/>
        <w:rPr>
          <w:sz w:val="20"/>
          <w:szCs w:val="20"/>
          <w:color w:val="auto"/>
        </w:rPr>
      </w:pPr>
      <w:r>
        <w:rPr>
          <w:rFonts w:ascii="Arial" w:cs="Arial" w:eastAsia="Arial" w:hAnsi="Arial"/>
          <w:sz w:val="18"/>
          <w:szCs w:val="18"/>
          <w:color w:val="auto"/>
        </w:rPr>
        <w:t>2.4.6 It is agreed that the escrow made herein is for the accommodation of Purchaser and Seller. Purchaser and Seller jointly and severally agree to indemnify and hold harmless the Title Company from the payment of any expenses or disbursements incurred by reason hereof, including, without limitation, reasonable attorneys’ fees and costs, including all such fees and costs incurred in any trial or appellate proceedings except in the event of a direct action by the Parties against the Title Company for the Title Company’s own breach of contract, negligence or willful or intentional misconduct, in which situation the Parties would have no such duties to indemnify and/or hold the Title Company harmless.</w:t>
      </w:r>
    </w:p>
    <w:p>
      <w:pPr>
        <w:spacing w:after="0" w:line="119" w:lineRule="exact"/>
        <w:rPr>
          <w:sz w:val="20"/>
          <w:szCs w:val="20"/>
          <w:color w:val="auto"/>
        </w:rPr>
      </w:pPr>
    </w:p>
    <w:p>
      <w:pPr>
        <w:ind w:left="320" w:right="6700" w:hanging="320"/>
        <w:spacing w:after="0" w:line="424" w:lineRule="auto"/>
        <w:tabs>
          <w:tab w:leader="none" w:pos="32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Review Documents; Inspections; Title and Survey</w:t>
      </w:r>
      <w:r>
        <w:rPr>
          <w:rFonts w:ascii="Arial" w:cs="Arial" w:eastAsia="Arial" w:hAnsi="Arial"/>
          <w:sz w:val="19"/>
          <w:szCs w:val="19"/>
          <w:color w:val="auto"/>
        </w:rPr>
        <w:t xml:space="preserve">. 3.1 </w:t>
      </w:r>
      <w:r>
        <w:rPr>
          <w:rFonts w:ascii="Arial" w:cs="Arial" w:eastAsia="Arial" w:hAnsi="Arial"/>
          <w:sz w:val="19"/>
          <w:szCs w:val="19"/>
          <w:u w:val="single" w:color="auto"/>
          <w:color w:val="auto"/>
        </w:rPr>
        <w:t>Inspections</w:t>
      </w:r>
      <w:r>
        <w:rPr>
          <w:rFonts w:ascii="Arial" w:cs="Arial" w:eastAsia="Arial" w:hAnsi="Arial"/>
          <w:sz w:val="19"/>
          <w:szCs w:val="19"/>
          <w:color w:val="auto"/>
        </w:rPr>
        <w:t>.</w:t>
      </w:r>
    </w:p>
    <w:p>
      <w:pPr>
        <w:spacing w:after="0" w:line="2" w:lineRule="exact"/>
        <w:rPr>
          <w:sz w:val="20"/>
          <w:szCs w:val="20"/>
          <w:color w:val="auto"/>
        </w:rPr>
      </w:pPr>
    </w:p>
    <w:p>
      <w:pPr>
        <w:jc w:val="both"/>
        <w:ind w:left="940"/>
        <w:spacing w:after="0" w:line="288" w:lineRule="auto"/>
        <w:rPr>
          <w:sz w:val="20"/>
          <w:szCs w:val="20"/>
          <w:color w:val="auto"/>
        </w:rPr>
      </w:pPr>
      <w:r>
        <w:rPr>
          <w:rFonts w:ascii="Arial" w:cs="Arial" w:eastAsia="Arial" w:hAnsi="Arial"/>
          <w:sz w:val="17"/>
          <w:szCs w:val="17"/>
          <w:color w:val="auto"/>
        </w:rPr>
        <w:t xml:space="preserve">3.1.1 Purchaser or Purchaser’s agents or representatives shall have access to the Property from time to time upon not less than one (1) full business day prior to the intended date of entry (which notice may be done via email (with read receipt confirmation) or telephone to Justin Sheets at, jsheets@matrixservicecompany.com or mobile telephone number: (484) 201-5828. Each such request shall specify the intended date of entry and shall provide a detailed description of the proposed investigations, including, without limitation, a list of contractors who will be performing the proposed investigation, a copy, if applicable, of the Purchaser’s testing plan as described in </w:t>
      </w:r>
      <w:r>
        <w:rPr>
          <w:rFonts w:ascii="Arial" w:cs="Arial" w:eastAsia="Arial" w:hAnsi="Arial"/>
          <w:sz w:val="17"/>
          <w:szCs w:val="17"/>
          <w:u w:val="single" w:color="auto"/>
          <w:color w:val="auto"/>
        </w:rPr>
        <w:t>Section 3.1.2</w:t>
      </w:r>
      <w:r>
        <w:rPr>
          <w:rFonts w:ascii="Arial" w:cs="Arial" w:eastAsia="Arial" w:hAnsi="Arial"/>
          <w:sz w:val="17"/>
          <w:szCs w:val="17"/>
          <w:color w:val="auto"/>
        </w:rPr>
        <w:t xml:space="preserve"> and such other information as Seller reasonably requires in connection with such proposed inspection. Neither Purchaser nor any of Purchaser’s agents or representatives shall enter the Property until Seller has given written approval of both the request and any testing plan. Purchaser acknowledges that prior to the Effective Date, Purchaser received a Phase I Environmental Site Assessment (the “</w:t>
      </w:r>
      <w:r>
        <w:rPr>
          <w:rFonts w:ascii="Arial" w:cs="Arial" w:eastAsia="Arial" w:hAnsi="Arial"/>
          <w:sz w:val="17"/>
          <w:szCs w:val="17"/>
          <w:u w:val="single" w:color="auto"/>
          <w:color w:val="auto"/>
        </w:rPr>
        <w:t>ESA</w:t>
      </w:r>
      <w:r>
        <w:rPr>
          <w:rFonts w:ascii="Arial" w:cs="Arial" w:eastAsia="Arial" w:hAnsi="Arial"/>
          <w:sz w:val="17"/>
          <w:szCs w:val="17"/>
          <w:color w:val="auto"/>
        </w:rPr>
        <w:t>”). Prior to the Effective Date and no later than within three (3) Business Days from the Effective Date, Seller shall, and shall direct its agents and employees to, promptly cooperate with the reasonable requests of the Purchaser to obtain information concerning the Property, including any material documentation concerning the Property to the extent in Seller’s or its agents and employees possession or control.</w:t>
      </w:r>
    </w:p>
    <w:p>
      <w:pPr>
        <w:spacing w:after="0" w:line="109" w:lineRule="exact"/>
        <w:rPr>
          <w:sz w:val="20"/>
          <w:szCs w:val="20"/>
          <w:color w:val="auto"/>
        </w:rPr>
      </w:pPr>
    </w:p>
    <w:p>
      <w:pPr>
        <w:jc w:val="both"/>
        <w:ind w:left="940"/>
        <w:spacing w:after="0" w:line="256" w:lineRule="auto"/>
        <w:rPr>
          <w:sz w:val="20"/>
          <w:szCs w:val="20"/>
          <w:color w:val="auto"/>
        </w:rPr>
      </w:pPr>
      <w:r>
        <w:rPr>
          <w:rFonts w:ascii="Arial" w:cs="Arial" w:eastAsia="Arial" w:hAnsi="Arial"/>
          <w:sz w:val="19"/>
          <w:szCs w:val="19"/>
          <w:color w:val="auto"/>
        </w:rPr>
        <w:t>3.1.2 During the term of this Agreement and subject to Purchaser’s compliance with Section 3.1.1, Purchaser shall have the right to conduct such due diligence, review such information and conduct such inspections with respect to the Property, including, without limitation, appraisals, engineering studies, soil tests, environmental studies, inquiry of governmental officials, and underwriting analyses as Purchaser shall deem necessary or desirable to evaluate the Property including, without limitation, the physical condition thereof; provided, that without the prior written consent of Seller as to the timing and scope (which may be withheld in Seller’s sole discretion), Purchaser shall not be entitled to conduct any invasive physical or environmental inspection of the Property,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920"/>
          </w:cols>
          <w:pgMar w:left="640" w:top="1440" w:right="339" w:bottom="1440" w:gutter="0" w:footer="0" w:header="0"/>
        </w:sectPr>
      </w:pPr>
    </w:p>
    <w:bookmarkStart w:id="92" w:name="page93"/>
    <w:bookmarkEnd w:id="92"/>
    <w:p>
      <w:pPr>
        <w:spacing w:after="0" w:line="99" w:lineRule="exact"/>
        <w:rPr>
          <w:sz w:val="20"/>
          <w:szCs w:val="20"/>
          <w:color w:val="auto"/>
        </w:rPr>
      </w:pPr>
    </w:p>
    <w:p>
      <w:pPr>
        <w:jc w:val="both"/>
        <w:ind w:left="140"/>
        <w:spacing w:after="0" w:line="259" w:lineRule="auto"/>
        <w:rPr>
          <w:sz w:val="20"/>
          <w:szCs w:val="20"/>
          <w:color w:val="auto"/>
        </w:rPr>
      </w:pPr>
      <w:r>
        <w:rPr>
          <w:rFonts w:ascii="Arial" w:cs="Arial" w:eastAsia="Arial" w:hAnsi="Arial"/>
          <w:sz w:val="19"/>
          <w:szCs w:val="19"/>
          <w:color w:val="auto"/>
        </w:rPr>
        <w:t>without limitation, any core sampling and any environmental testing other than a Phase I Environmental Site Assessment. If Purchaser wishes to obtain Seller’s consent to conduct tests or inspections at the Property, Purchaser shall deliver a written request to Seller setting forth in reasonable detail the nature and scope of the proposed work and the party who is to conduct the work. A representative of Seller shall have the right, but not the obligation, to be present during any such test or inspection; provided that if Seller is not present at the agreed upon time for such investigation, Seller’s absence shall not prohibit Purchaser from conducting such Investigation.</w:t>
      </w:r>
    </w:p>
    <w:p>
      <w:pPr>
        <w:spacing w:after="0" w:line="133" w:lineRule="exact"/>
        <w:rPr>
          <w:sz w:val="20"/>
          <w:szCs w:val="20"/>
          <w:color w:val="auto"/>
        </w:rPr>
      </w:pPr>
    </w:p>
    <w:p>
      <w:pPr>
        <w:jc w:val="both"/>
        <w:ind w:left="140"/>
        <w:spacing w:after="0" w:line="266" w:lineRule="auto"/>
        <w:rPr>
          <w:sz w:val="20"/>
          <w:szCs w:val="20"/>
          <w:color w:val="auto"/>
        </w:rPr>
      </w:pPr>
      <w:r>
        <w:rPr>
          <w:rFonts w:ascii="Arial" w:cs="Arial" w:eastAsia="Arial" w:hAnsi="Arial"/>
          <w:sz w:val="19"/>
          <w:szCs w:val="19"/>
          <w:color w:val="auto"/>
        </w:rPr>
        <w:t xml:space="preserve">3.1.3 Purchaser shall not make any contact with anyone at the Property without the prior written consent of Seller, which may be given or withheld in Seller’s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that Purchaser shall have the right to coordinate with Seller’s employees with respect to any inspection or investigations.</w:t>
      </w:r>
    </w:p>
    <w:p>
      <w:pPr>
        <w:spacing w:after="0" w:line="113" w:lineRule="exact"/>
        <w:rPr>
          <w:sz w:val="20"/>
          <w:szCs w:val="20"/>
          <w:color w:val="auto"/>
        </w:rPr>
      </w:pPr>
    </w:p>
    <w:p>
      <w:pPr>
        <w:jc w:val="both"/>
        <w:ind w:left="140"/>
        <w:spacing w:after="0" w:line="272" w:lineRule="auto"/>
        <w:rPr>
          <w:sz w:val="20"/>
          <w:szCs w:val="20"/>
          <w:color w:val="auto"/>
        </w:rPr>
      </w:pPr>
      <w:r>
        <w:rPr>
          <w:rFonts w:ascii="Arial" w:cs="Arial" w:eastAsia="Arial" w:hAnsi="Arial"/>
          <w:sz w:val="18"/>
          <w:szCs w:val="18"/>
          <w:color w:val="auto"/>
        </w:rPr>
        <w:t>3.1.4 If at any time on or before 5:00 p.m. PT on June 15, 2022 (the “</w:t>
      </w:r>
      <w:r>
        <w:rPr>
          <w:rFonts w:ascii="Arial" w:cs="Arial" w:eastAsia="Arial" w:hAnsi="Arial"/>
          <w:sz w:val="18"/>
          <w:szCs w:val="18"/>
          <w:u w:val="single" w:color="auto"/>
          <w:color w:val="auto"/>
        </w:rPr>
        <w:t>Inspection Expiration Date</w:t>
      </w:r>
      <w:r>
        <w:rPr>
          <w:rFonts w:ascii="Arial" w:cs="Arial" w:eastAsia="Arial" w:hAnsi="Arial"/>
          <w:sz w:val="18"/>
          <w:szCs w:val="18"/>
          <w:color w:val="auto"/>
        </w:rPr>
        <w:t>”) Purchaser is not satisfied with any matter relating to the Property in its sole and absolute discretion and desires to terminate this Agreement, Purchaser may terminate this Agreement by giving Seller and the Title Company written notice on or before the Inspection Expiration Date of Purchaser’s election to terminate this Agreement (a “</w:t>
      </w:r>
      <w:r>
        <w:rPr>
          <w:rFonts w:ascii="Arial" w:cs="Arial" w:eastAsia="Arial" w:hAnsi="Arial"/>
          <w:sz w:val="18"/>
          <w:szCs w:val="18"/>
          <w:u w:val="single" w:color="auto"/>
          <w:color w:val="auto"/>
        </w:rPr>
        <w:t>Termination Notice</w:t>
      </w:r>
      <w:r>
        <w:rPr>
          <w:rFonts w:ascii="Arial" w:cs="Arial" w:eastAsia="Arial" w:hAnsi="Arial"/>
          <w:sz w:val="18"/>
          <w:szCs w:val="18"/>
          <w:color w:val="auto"/>
        </w:rPr>
        <w:t>”), whereupon the Deposit shall be returned to Purchaser, and neither party shall have any further obligation or liability hereunder, except those expressly stated to survive termination of this Agreement. Upon receipt of a Termination Notice prior to the Inspection Expiration Date, the Title Company shall immediately deliver the Deposit to Purchaser, and the parties agree that no mutual written consent or approval from Seller shall be required to authorize the return of the Deposit. If Purchaser has not given Seller a Termination Notice on or before the Inspection Expiration Date, this Agreement shall continue in full force and effect and be binding upon the parties, and the Deposit shall immediately become non-refundable and payable to Seller upon Closing or upon default by Purchaser as provided herein, except as otherwise expressly provided in this Agreement.</w:t>
      </w:r>
    </w:p>
    <w:p>
      <w:pPr>
        <w:spacing w:after="0" w:line="121" w:lineRule="exact"/>
        <w:rPr>
          <w:sz w:val="20"/>
          <w:szCs w:val="20"/>
          <w:color w:val="auto"/>
        </w:rPr>
      </w:pPr>
    </w:p>
    <w:p>
      <w:pPr>
        <w:jc w:val="both"/>
        <w:ind w:left="140"/>
        <w:spacing w:after="0" w:line="295" w:lineRule="auto"/>
        <w:rPr>
          <w:sz w:val="20"/>
          <w:szCs w:val="20"/>
          <w:color w:val="auto"/>
        </w:rPr>
      </w:pPr>
      <w:r>
        <w:rPr>
          <w:rFonts w:ascii="Arial" w:cs="Arial" w:eastAsia="Arial" w:hAnsi="Arial"/>
          <w:sz w:val="17"/>
          <w:szCs w:val="17"/>
          <w:color w:val="auto"/>
        </w:rPr>
        <w:t>3.1.5 Purchaser agrees that, in making any inspections of, or conducting any testing of, on, or under the Property, Purchaser or Purchaser’s agents will not unreasonably interfere with the operation of the Property, and will restore promptly any physical damage caused by such inspections or tests to substantially the same condition as existed prior to such inspections or tests (excluding any preexisting adverse conditions). Seller reserves the right to have a representative present at any such physical inspections or tests at the Property, but Seller’s failure to have such a representative present shall not in and of itself prevent such inspections and tests from going forward. Any such inspections and testing shall be at Purchaser’s sole cost and expense.</w:t>
      </w:r>
    </w:p>
    <w:p>
      <w:pPr>
        <w:spacing w:after="0" w:line="93" w:lineRule="exact"/>
        <w:rPr>
          <w:sz w:val="20"/>
          <w:szCs w:val="20"/>
          <w:color w:val="auto"/>
        </w:rPr>
      </w:pPr>
    </w:p>
    <w:p>
      <w:pPr>
        <w:jc w:val="both"/>
        <w:ind w:left="140"/>
        <w:spacing w:after="0" w:line="264" w:lineRule="auto"/>
        <w:rPr>
          <w:sz w:val="20"/>
          <w:szCs w:val="20"/>
          <w:color w:val="auto"/>
        </w:rPr>
      </w:pPr>
      <w:r>
        <w:rPr>
          <w:rFonts w:ascii="Arial" w:cs="Arial" w:eastAsia="Arial" w:hAnsi="Arial"/>
          <w:sz w:val="19"/>
          <w:szCs w:val="19"/>
          <w:color w:val="auto"/>
        </w:rPr>
        <w:t>3.1.6 Purchaser agrees that, in making any inspections of, or conducting any testing of, on or under the Property, Purchaser or Purchaser’s agents will carry not less than $2,000,000.00 commercial general liability insurance and auto insurance, and upon request of Seller, will provide Seller with written evidence of such insurance. Purchaser will also carry Workers Compensation insurance at statutory levels with Employers Liability with at least $1,000,000.00 in limits.</w:t>
      </w:r>
    </w:p>
    <w:p>
      <w:pPr>
        <w:spacing w:after="0" w:line="127" w:lineRule="exact"/>
        <w:rPr>
          <w:sz w:val="20"/>
          <w:szCs w:val="20"/>
          <w:color w:val="auto"/>
        </w:rPr>
      </w:pPr>
    </w:p>
    <w:p>
      <w:pPr>
        <w:jc w:val="both"/>
        <w:ind w:left="140"/>
        <w:spacing w:after="0" w:line="274" w:lineRule="auto"/>
        <w:rPr>
          <w:sz w:val="20"/>
          <w:szCs w:val="20"/>
          <w:color w:val="auto"/>
        </w:rPr>
      </w:pPr>
      <w:r>
        <w:rPr>
          <w:rFonts w:ascii="Arial" w:cs="Arial" w:eastAsia="Arial" w:hAnsi="Arial"/>
          <w:sz w:val="19"/>
          <w:szCs w:val="19"/>
          <w:color w:val="auto"/>
        </w:rPr>
        <w:t>3.1.7 Purchaser shall not reveal to any third party not approved by Seller (other than as required by any governmental authority or court order or law, and/or to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120"/>
          </w:cols>
          <w:pgMar w:left="1440" w:top="1440" w:right="339" w:bottom="1440" w:gutter="0" w:footer="0" w:header="0"/>
        </w:sectPr>
      </w:pPr>
    </w:p>
    <w:bookmarkStart w:id="93" w:name="page94"/>
    <w:bookmarkEnd w:id="93"/>
    <w:p>
      <w:pPr>
        <w:spacing w:after="0" w:line="99" w:lineRule="exact"/>
        <w:rPr>
          <w:sz w:val="20"/>
          <w:szCs w:val="20"/>
          <w:color w:val="auto"/>
        </w:rPr>
      </w:pPr>
    </w:p>
    <w:p>
      <w:pPr>
        <w:jc w:val="both"/>
        <w:ind w:left="620"/>
        <w:spacing w:after="0" w:line="276" w:lineRule="auto"/>
        <w:rPr>
          <w:sz w:val="20"/>
          <w:szCs w:val="20"/>
          <w:color w:val="auto"/>
        </w:rPr>
      </w:pPr>
      <w:r>
        <w:rPr>
          <w:rFonts w:ascii="Arial" w:cs="Arial" w:eastAsia="Arial" w:hAnsi="Arial"/>
          <w:sz w:val="18"/>
          <w:szCs w:val="18"/>
          <w:color w:val="auto"/>
        </w:rPr>
        <w:t>inspectors, advisors, contractors, employees, attorneys, counsel, consultants and other professionals, lenders, investors and prospective lenders and investors that need to know such information in order for Purchaser to consummate the transaction contemplated in this Agreement, provided that Purchaser advises such persons of the confidential nature of such material and uses reasonable efforts to cause such person to comply with the nondisclosure provisions of this Section) the results of its inspections or tests, provided such obligation of confidentiality will terminate as of the Closing. Purchaser agrees to provide Seller, without any representations or warranties, with a copy of any inspection or test report upon Seller’s written request, except any third party report which by its terms prohibits such dissemination.</w:t>
      </w:r>
    </w:p>
    <w:p>
      <w:pPr>
        <w:spacing w:after="0" w:line="104" w:lineRule="exact"/>
        <w:rPr>
          <w:sz w:val="20"/>
          <w:szCs w:val="20"/>
          <w:color w:val="auto"/>
        </w:rPr>
      </w:pPr>
    </w:p>
    <w:p>
      <w:pPr>
        <w:jc w:val="both"/>
        <w:ind w:left="620"/>
        <w:spacing w:after="0" w:line="288" w:lineRule="auto"/>
        <w:rPr>
          <w:sz w:val="20"/>
          <w:szCs w:val="20"/>
          <w:color w:val="auto"/>
        </w:rPr>
      </w:pPr>
      <w:r>
        <w:rPr>
          <w:rFonts w:ascii="Arial" w:cs="Arial" w:eastAsia="Arial" w:hAnsi="Arial"/>
          <w:sz w:val="17"/>
          <w:szCs w:val="17"/>
          <w:color w:val="auto"/>
        </w:rPr>
        <w:t>3.1.8 Purchaser shall indemnify, defend, and hold Seller free and harmless from any loss, injury, damage, claim, lien, cost or expense, including attorneys’ fees and costs, arising out of Purchaser’s inspection and testing of the Property, or otherwise from the exercise by Purchaser or its agents or representatives of the right of access under Section 3.1; provided; however, that such indemnity shall not include any costs or damages caused by (x) the gross negligence or willful misconduct of Seller or its agents,</w:t>
      </w:r>
    </w:p>
    <w:p>
      <w:pPr>
        <w:spacing w:after="0" w:line="2" w:lineRule="exact"/>
        <w:rPr>
          <w:sz w:val="20"/>
          <w:szCs w:val="20"/>
          <w:color w:val="auto"/>
        </w:rPr>
      </w:pPr>
    </w:p>
    <w:p>
      <w:pPr>
        <w:ind w:left="900" w:hanging="276"/>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claims of diminution in the value of the Property as a consequence of the results revealed by such tests and inspections or</w:t>
      </w:r>
    </w:p>
    <w:p>
      <w:pPr>
        <w:spacing w:after="0" w:line="34" w:lineRule="exact"/>
        <w:rPr>
          <w:rFonts w:ascii="Arial" w:cs="Arial" w:eastAsia="Arial" w:hAnsi="Arial"/>
          <w:sz w:val="17"/>
          <w:szCs w:val="17"/>
          <w:color w:val="auto"/>
        </w:rPr>
      </w:pPr>
    </w:p>
    <w:p>
      <w:pPr>
        <w:ind w:left="880" w:hanging="256"/>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pre-existing condition of the Property, which indemnity shall survive the Closing or termination of this Agreement.</w:t>
      </w:r>
    </w:p>
    <w:p>
      <w:pPr>
        <w:spacing w:after="0" w:line="170"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Title and Survey</w:t>
      </w:r>
      <w:r>
        <w:rPr>
          <w:rFonts w:ascii="Arial" w:cs="Arial" w:eastAsia="Arial" w:hAnsi="Arial"/>
          <w:sz w:val="17"/>
          <w:szCs w:val="17"/>
          <w:color w:val="auto"/>
        </w:rPr>
        <w:t>.</w:t>
      </w:r>
    </w:p>
    <w:p>
      <w:pPr>
        <w:spacing w:after="0" w:line="162" w:lineRule="exact"/>
        <w:rPr>
          <w:sz w:val="20"/>
          <w:szCs w:val="20"/>
          <w:color w:val="auto"/>
        </w:rPr>
      </w:pPr>
    </w:p>
    <w:p>
      <w:pPr>
        <w:jc w:val="both"/>
        <w:ind w:left="620"/>
        <w:spacing w:after="0" w:line="271" w:lineRule="auto"/>
        <w:rPr>
          <w:sz w:val="20"/>
          <w:szCs w:val="20"/>
          <w:color w:val="auto"/>
        </w:rPr>
      </w:pPr>
      <w:r>
        <w:rPr>
          <w:rFonts w:ascii="Arial" w:cs="Arial" w:eastAsia="Arial" w:hAnsi="Arial"/>
          <w:sz w:val="18"/>
          <w:szCs w:val="18"/>
          <w:color w:val="auto"/>
        </w:rPr>
        <w:t>3.2.1 Purchaser acknowledges that prior to the Effective Date, Purchaser received that certain (a) Preliminary Report (Order No. 00177683-984-LT2-JC) prepared by the Title Company and issued by Chicago Title Insurance Company (the “</w:t>
      </w:r>
      <w:r>
        <w:rPr>
          <w:rFonts w:ascii="Arial" w:cs="Arial" w:eastAsia="Arial" w:hAnsi="Arial"/>
          <w:sz w:val="18"/>
          <w:szCs w:val="18"/>
          <w:u w:val="single" w:color="auto"/>
          <w:color w:val="auto"/>
        </w:rPr>
        <w:t>Title Report</w:t>
      </w:r>
      <w:r>
        <w:rPr>
          <w:rFonts w:ascii="Arial" w:cs="Arial" w:eastAsia="Arial" w:hAnsi="Arial"/>
          <w:sz w:val="18"/>
          <w:szCs w:val="18"/>
          <w:color w:val="auto"/>
        </w:rPr>
        <w:t>”) and (b) survey of the Property prepared by Richtig Inc. and dated May 8, 2022 (the “</w:t>
      </w:r>
      <w:r>
        <w:rPr>
          <w:rFonts w:ascii="Arial" w:cs="Arial" w:eastAsia="Arial" w:hAnsi="Arial"/>
          <w:sz w:val="18"/>
          <w:szCs w:val="18"/>
          <w:u w:val="single" w:color="auto"/>
          <w:color w:val="auto"/>
        </w:rPr>
        <w:t>Survey</w:t>
      </w:r>
      <w:r>
        <w:rPr>
          <w:rFonts w:ascii="Arial" w:cs="Arial" w:eastAsia="Arial" w:hAnsi="Arial"/>
          <w:sz w:val="18"/>
          <w:szCs w:val="18"/>
          <w:color w:val="auto"/>
        </w:rPr>
        <w:t>”). [Purchaser represents that Purchaser has reviewed the Title Report and Survey, and with the exception of that certain Deed of Trust, dated March 7, 2003 (as amended and restated) identified in Item No. 3 of the “Exceptions” of the Title Report (the “</w:t>
      </w:r>
      <w:r>
        <w:rPr>
          <w:rFonts w:ascii="Arial" w:cs="Arial" w:eastAsia="Arial" w:hAnsi="Arial"/>
          <w:sz w:val="18"/>
          <w:szCs w:val="18"/>
          <w:u w:val="single" w:color="auto"/>
          <w:color w:val="auto"/>
        </w:rPr>
        <w:t>Deed of Trust</w:t>
      </w:r>
      <w:r>
        <w:rPr>
          <w:rFonts w:ascii="Arial" w:cs="Arial" w:eastAsia="Arial" w:hAnsi="Arial"/>
          <w:sz w:val="18"/>
          <w:szCs w:val="18"/>
          <w:color w:val="auto"/>
        </w:rPr>
        <w:t>”), which Seller shall cause to be released in connection with the Closing, Purchaser agrees that any encumbrance or defect shown in the Title Report or Survey as affecting the Property is acceptable and shall be deemed “</w:t>
      </w:r>
      <w:r>
        <w:rPr>
          <w:rFonts w:ascii="Arial" w:cs="Arial" w:eastAsia="Arial" w:hAnsi="Arial"/>
          <w:sz w:val="18"/>
          <w:szCs w:val="18"/>
          <w:u w:val="single" w:color="auto"/>
          <w:color w:val="auto"/>
        </w:rPr>
        <w:t>Permitted Exceptions</w:t>
      </w:r>
      <w:r>
        <w:rPr>
          <w:rFonts w:ascii="Arial" w:cs="Arial" w:eastAsia="Arial" w:hAnsi="Arial"/>
          <w:sz w:val="18"/>
          <w:szCs w:val="18"/>
          <w:color w:val="auto"/>
        </w:rPr>
        <w:t xml:space="preserve">.” For the avoidance of doubt, in no event shall Permitted Exceptions include, and Seller shall have the obligation to remove or cure on or before the Closing Date, (a) any exceptions to title which would be removed upon Seller’s delivery of its Title Affidavit (as defined below) to the Title Company, (b) any exceptions to title which are mortgages or liens evidencing monetary encumbrances, including without limitation the Deed of Trust, granted by, through or under Seller, (c) the lien of ad valorem real or personal property taxes, assessments and governmental charges affecting all or any portion of the Property that are delinquent or that will be delinquent on the Closing Date, (d) title matters disclosed on or after the Inspection Expiration Date, except for New Title Matters approved by Purchaser pursuant to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below, or (e) any exception to title that Seller has specifically agreed in writing to remove pursuant to this Agreement (collectively, the “</w:t>
      </w:r>
      <w:r>
        <w:rPr>
          <w:rFonts w:ascii="Arial" w:cs="Arial" w:eastAsia="Arial" w:hAnsi="Arial"/>
          <w:sz w:val="18"/>
          <w:szCs w:val="18"/>
          <w:u w:val="single" w:color="auto"/>
          <w:color w:val="auto"/>
        </w:rPr>
        <w:t>Mandatory Cure Items</w:t>
      </w:r>
      <w:r>
        <w:rPr>
          <w:rFonts w:ascii="Arial" w:cs="Arial" w:eastAsia="Arial" w:hAnsi="Arial"/>
          <w:sz w:val="18"/>
          <w:szCs w:val="18"/>
          <w:color w:val="auto"/>
        </w:rPr>
        <w:t>”).</w:t>
      </w:r>
    </w:p>
    <w:p>
      <w:pPr>
        <w:spacing w:after="0" w:line="114" w:lineRule="exact"/>
        <w:rPr>
          <w:sz w:val="20"/>
          <w:szCs w:val="20"/>
          <w:color w:val="auto"/>
        </w:rPr>
      </w:pPr>
    </w:p>
    <w:p>
      <w:pPr>
        <w:jc w:val="both"/>
        <w:ind w:left="620"/>
        <w:spacing w:after="0" w:line="288" w:lineRule="auto"/>
        <w:rPr>
          <w:sz w:val="20"/>
          <w:szCs w:val="20"/>
          <w:color w:val="auto"/>
        </w:rPr>
      </w:pPr>
      <w:r>
        <w:rPr>
          <w:rFonts w:ascii="Arial" w:cs="Arial" w:eastAsia="Arial" w:hAnsi="Arial"/>
          <w:sz w:val="19"/>
          <w:szCs w:val="19"/>
          <w:color w:val="auto"/>
        </w:rPr>
        <w:t>3.2.2 At the Closing, Seller shall convey or cause to be conveyed to Purchaser, and Purchaser agrees to accept, title to the Property, subject only to the Permitted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600"/>
          </w:cols>
          <w:pgMar w:left="960" w:top="1440" w:right="339" w:bottom="1440" w:gutter="0" w:footer="0" w:header="0"/>
        </w:sectPr>
      </w:pPr>
    </w:p>
    <w:bookmarkStart w:id="94" w:name="page95"/>
    <w:bookmarkEnd w:id="94"/>
    <w:p>
      <w:pPr>
        <w:spacing w:after="0" w:line="99" w:lineRule="exact"/>
        <w:rPr>
          <w:sz w:val="20"/>
          <w:szCs w:val="20"/>
          <w:color w:val="auto"/>
        </w:rPr>
      </w:pPr>
    </w:p>
    <w:p>
      <w:pPr>
        <w:jc w:val="both"/>
        <w:ind w:left="620"/>
        <w:spacing w:after="0" w:line="266" w:lineRule="auto"/>
        <w:rPr>
          <w:sz w:val="20"/>
          <w:szCs w:val="20"/>
          <w:color w:val="auto"/>
        </w:rPr>
      </w:pPr>
      <w:r>
        <w:rPr>
          <w:rFonts w:ascii="Arial" w:cs="Arial" w:eastAsia="Arial" w:hAnsi="Arial"/>
          <w:sz w:val="19"/>
          <w:szCs w:val="19"/>
          <w:color w:val="auto"/>
        </w:rPr>
        <w:t xml:space="preserve">3.2.3 Pursuant to </w:t>
      </w:r>
      <w:r>
        <w:rPr>
          <w:rFonts w:ascii="Arial" w:cs="Arial" w:eastAsia="Arial" w:hAnsi="Arial"/>
          <w:sz w:val="19"/>
          <w:szCs w:val="19"/>
          <w:u w:val="single" w:color="auto"/>
          <w:color w:val="auto"/>
        </w:rPr>
        <w:t>Section 13.3</w:t>
      </w:r>
      <w:r>
        <w:rPr>
          <w:rFonts w:ascii="Arial" w:cs="Arial" w:eastAsia="Arial" w:hAnsi="Arial"/>
          <w:sz w:val="19"/>
          <w:szCs w:val="19"/>
          <w:color w:val="auto"/>
        </w:rPr>
        <w:t>, Purchaser may, prior to the Closing Date, notify Seller in writing of any objection to title or survey (excluding objections to title or survey which have been waived by Purchaser as hereinabove provided or that are or are deemed to be Permitted Exceptions) arising after the Inspection Expiration Date (“</w:t>
      </w:r>
      <w:r>
        <w:rPr>
          <w:rFonts w:ascii="Arial" w:cs="Arial" w:eastAsia="Arial" w:hAnsi="Arial"/>
          <w:sz w:val="19"/>
          <w:szCs w:val="19"/>
          <w:u w:val="single" w:color="auto"/>
          <w:color w:val="auto"/>
        </w:rPr>
        <w:t>New Title Matters</w:t>
      </w:r>
      <w:r>
        <w:rPr>
          <w:rFonts w:ascii="Arial" w:cs="Arial" w:eastAsia="Arial" w:hAnsi="Arial"/>
          <w:sz w:val="19"/>
          <w:szCs w:val="19"/>
          <w:color w:val="auto"/>
        </w:rPr>
        <w:t>”).</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Natural Hazards Disclosures</w:t>
      </w:r>
      <w:r>
        <w:rPr>
          <w:rFonts w:ascii="Arial" w:cs="Arial" w:eastAsia="Arial" w:hAnsi="Arial"/>
          <w:sz w:val="17"/>
          <w:szCs w:val="17"/>
          <w:color w:val="auto"/>
        </w:rPr>
        <w:t>. As used herein, the term “Natural Hazard Area” shall mean those areas identified as natural hazard areas or natural hazards in the Natural Hazard Disclosure Act, California Government Code Sections 8589.3, 8589.4, 8589.5 8875.6, 8875.9, 8893.2, 8893.3, and 51183.5, and California Public Resources Code Sections 2621, et. seq., 2621.9, 2694, and 4125, 4136, California Civil Code section 1103 et. seq. and 2079.9, Business and Professions Code section 10147 and any successor statutes or laws (the “</w:t>
      </w:r>
      <w:r>
        <w:rPr>
          <w:rFonts w:ascii="Arial" w:cs="Arial" w:eastAsia="Arial" w:hAnsi="Arial"/>
          <w:sz w:val="17"/>
          <w:szCs w:val="17"/>
          <w:u w:val="single" w:color="auto"/>
          <w:color w:val="auto"/>
        </w:rPr>
        <w:t>Natural Hazard Disclosure Act</w:t>
      </w:r>
      <w:r>
        <w:rPr>
          <w:rFonts w:ascii="Arial" w:cs="Arial" w:eastAsia="Arial" w:hAnsi="Arial"/>
          <w:sz w:val="17"/>
          <w:szCs w:val="17"/>
          <w:color w:val="auto"/>
        </w:rPr>
        <w:t>”). Seller shall have the Title Company prepare and provide to Purchaser a Natural Hazard Disclosure Statement (the “</w:t>
      </w:r>
      <w:r>
        <w:rPr>
          <w:rFonts w:ascii="Arial" w:cs="Arial" w:eastAsia="Arial" w:hAnsi="Arial"/>
          <w:sz w:val="17"/>
          <w:szCs w:val="17"/>
          <w:u w:val="single" w:color="auto"/>
          <w:color w:val="auto"/>
        </w:rPr>
        <w:t>Natural Hazard Disclosure Statement</w:t>
      </w:r>
      <w:r>
        <w:rPr>
          <w:rFonts w:ascii="Arial" w:cs="Arial" w:eastAsia="Arial" w:hAnsi="Arial"/>
          <w:sz w:val="17"/>
          <w:szCs w:val="17"/>
          <w:color w:val="auto"/>
        </w:rPr>
        <w:t>”) in a form required by the Natural Hazard Disclosure Act prior to the Inspection Expiration Date. Purchaser acknowledges that Seller shall retain the services of the Title Company to examine the maps and other information made available to the public by government agencies for the purpose of enabling Seller to fulfill its disclosure obligations with respect to the Natural Hazard Disclosure Act and to prepare the written report of the result of its examination (the “</w:t>
      </w:r>
      <w:r>
        <w:rPr>
          <w:rFonts w:ascii="Arial" w:cs="Arial" w:eastAsia="Arial" w:hAnsi="Arial"/>
          <w:sz w:val="17"/>
          <w:szCs w:val="17"/>
          <w:u w:val="single" w:color="auto"/>
          <w:color w:val="auto"/>
        </w:rPr>
        <w:t>Natural Hazard Report</w:t>
      </w:r>
      <w:r>
        <w:rPr>
          <w:rFonts w:ascii="Arial" w:cs="Arial" w:eastAsia="Arial" w:hAnsi="Arial"/>
          <w:sz w:val="17"/>
          <w:szCs w:val="17"/>
          <w:color w:val="auto"/>
        </w:rPr>
        <w:t>”). Purchaser acknowledges that Purchaser’s receipt of the Natural Hazard Disclosure Statement and the Natural Hazard Report fully and completely discharges Seller from its disclosure obligations under the Natural Hazard Disclosure Act, and, for the purposes of this Agreement, the provisions of California Civil Code Section 1102.4, 1103.4, and 1103, et. seq. and 42 U.S.C. section 5154a regarding the non-liability of Seller for errors and/or omissions not within its personal knowledge shall be deemed to apply with respect to the Natural Hazard Disclosure Act, and the preparer of such Natural Hazard Report shall be deemed to be an expert dealing with matters within the scope of its expertise with respect to the examination and written report regarding the natural hazards referred to above. Purchaser acknowledges and agrees that the matters set forth in the Natural Hazard Disclosure Statement may change on or prior to the Closing and that Seller has no obligation to update, modify, or supplement the Natural Hazard Disclosure Statement.</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California Health &amp; Safety Code Section 25359.7 and 25400.28 Disclosure</w:t>
      </w:r>
      <w:r>
        <w:rPr>
          <w:rFonts w:ascii="Arial" w:cs="Arial" w:eastAsia="Arial" w:hAnsi="Arial"/>
          <w:sz w:val="18"/>
          <w:szCs w:val="18"/>
          <w:color w:val="auto"/>
        </w:rPr>
        <w:t xml:space="preserve">. Section 25359.7 of the California Health &amp; Safety Code requires owners of nonresidential real property who know, or have reasonable cause to believe, that any release of hazardous substance has come to be located on or beneath the real property to provide written notice of such to a purchaser of the real property. Likewise, section 25400.28 requires a disclosure of any release of controlled substance clean-up orders. Not in limitation of any express representations or warranties of Seller under this Agreement, Purchaser acknowledges and agrees that the sole inquiry and investigation Seller has conducted in connection with the environmental condition of the Property is to obtain and/or review those certain environmental reports, assessments, and studies of the Property delivered to Purchaser pursuant to this Agreement. Not in limitation of any express representations or warranties of Seller under this Agreement or any obligation of Seller to deliver the Property materials in accordance with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Purchaser: (a) acknowledges Purchaser’s receipt of the foregoing notice given pursuant to Sections 25359.7 and 25400.28 of the California Health and Safety Code; and (b) after receiving advice of Purchaser’s legal counsel, waives any and all rights Purchaser may have to assert that Seller has not complied with the requirements of Section 25359.7 and/or 25400.28 of the California Health and Safety Code.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shall survive the Closing.</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Appraisal Discrimination Disclosure</w:t>
      </w:r>
      <w:r>
        <w:rPr>
          <w:rFonts w:ascii="Arial" w:cs="Arial" w:eastAsia="Arial" w:hAnsi="Arial"/>
          <w:sz w:val="19"/>
          <w:szCs w:val="19"/>
          <w:color w:val="auto"/>
        </w:rPr>
        <w:t>. Pursuant to California Civil code section 1102.6g, the following Appraisal Discrimination is made: “Any appraisal of the property is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600"/>
          </w:cols>
          <w:pgMar w:left="960" w:top="1440" w:right="339" w:bottom="1440" w:gutter="0" w:footer="0" w:header="0"/>
        </w:sectPr>
      </w:pPr>
    </w:p>
    <w:bookmarkStart w:id="95" w:name="page96"/>
    <w:bookmarkEnd w:id="95"/>
    <w:p>
      <w:pPr>
        <w:spacing w:after="0" w:line="99" w:lineRule="exact"/>
        <w:rPr>
          <w:sz w:val="20"/>
          <w:szCs w:val="20"/>
          <w:color w:val="auto"/>
        </w:rPr>
      </w:pPr>
    </w:p>
    <w:p>
      <w:pPr>
        <w:jc w:val="both"/>
        <w:ind w:left="320"/>
        <w:spacing w:after="0" w:line="273" w:lineRule="auto"/>
        <w:rPr>
          <w:sz w:val="20"/>
          <w:szCs w:val="20"/>
          <w:color w:val="auto"/>
        </w:rPr>
      </w:pPr>
      <w:r>
        <w:rPr>
          <w:rFonts w:ascii="Arial" w:cs="Arial" w:eastAsia="Arial" w:hAnsi="Arial"/>
          <w:sz w:val="18"/>
          <w:szCs w:val="18"/>
          <w:color w:val="auto"/>
        </w:rPr>
        <w:t>unbiased, objective, and not influenced by improper or illegal considerations, including, but not limited to, any of the following: race, color, religion (including religious dress, grooming practices, or both), gender (including, but not limited to, pregnancy, childbirth, breastfeeding, and related conditions, and gender identity and gender expression), sexual orientation, marital status, medical condition, military or veteran status, national origin (including language use and possession of a driver's license issued to persons unable to provide their presence in the United States is authorized under federal law), source of income, ancestry, disability (mental and physical, including, but not limited to, HIV/AIDS status, cancer diagnosis, and genetic characteristics), genetic information, or age. If a buyer or seller believes that the appraisal has been influenced by any of the above factors, the seller or buyer can report this information to the lender or mortgage broker that retained the appraiser and may also file a complaint with the Bureau of Real Estate Appraisers at https://www2.brea.ca.gov/complaint/ or call (916) 552-9000 for further information on how to file a complaint.”</w:t>
      </w:r>
    </w:p>
    <w:p>
      <w:pPr>
        <w:spacing w:after="0" w:line="110" w:lineRule="exact"/>
        <w:rPr>
          <w:sz w:val="20"/>
          <w:szCs w:val="20"/>
          <w:color w:val="auto"/>
        </w:rPr>
      </w:pPr>
    </w:p>
    <w:p>
      <w:pPr>
        <w:jc w:val="both"/>
        <w:ind w:left="320"/>
        <w:spacing w:after="0" w:line="288"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Death Disclosure</w:t>
      </w:r>
      <w:r>
        <w:rPr>
          <w:rFonts w:ascii="Arial" w:cs="Arial" w:eastAsia="Arial" w:hAnsi="Arial"/>
          <w:sz w:val="19"/>
          <w:szCs w:val="19"/>
          <w:color w:val="auto"/>
        </w:rPr>
        <w:t>. There has been no death on the Property in the three years preceding the Effective Date that is known by Seller that would be otherwise required to be disclosed pursuant to California Civil Code section 1710.2.</w:t>
      </w:r>
    </w:p>
    <w:p>
      <w:pPr>
        <w:spacing w:after="0" w:line="105" w:lineRule="exact"/>
        <w:rPr>
          <w:sz w:val="20"/>
          <w:szCs w:val="20"/>
          <w:color w:val="auto"/>
        </w:rPr>
      </w:pPr>
    </w:p>
    <w:p>
      <w:pPr>
        <w:jc w:val="both"/>
        <w:ind w:left="320"/>
        <w:spacing w:after="0" w:line="274"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Discriminatory Covenants</w:t>
      </w:r>
      <w:r>
        <w:rPr>
          <w:rFonts w:ascii="Arial" w:cs="Arial" w:eastAsia="Arial" w:hAnsi="Arial"/>
          <w:sz w:val="19"/>
          <w:szCs w:val="19"/>
          <w:color w:val="auto"/>
        </w:rPr>
        <w:t>. There are no known Discriminatory Covenants associated with the Property that would otherwise be required to be disclosed by the Seller pursuant to California Government Code section 12956.2.</w:t>
      </w:r>
    </w:p>
    <w:p>
      <w:pPr>
        <w:spacing w:after="0" w:line="117"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7"/>
          <w:szCs w:val="17"/>
          <w:u w:val="single" w:color="auto"/>
          <w:color w:val="auto"/>
        </w:rPr>
        <w:t>Memorandum of Purchase Agreement</w:t>
      </w:r>
      <w:r>
        <w:rPr>
          <w:rFonts w:ascii="Arial" w:cs="Arial" w:eastAsia="Arial" w:hAnsi="Arial"/>
          <w:sz w:val="17"/>
          <w:szCs w:val="17"/>
          <w:color w:val="auto"/>
        </w:rPr>
        <w:t>.</w:t>
      </w:r>
    </w:p>
    <w:p>
      <w:pPr>
        <w:spacing w:after="0" w:line="162" w:lineRule="exact"/>
        <w:rPr>
          <w:sz w:val="20"/>
          <w:szCs w:val="20"/>
          <w:color w:val="auto"/>
        </w:rPr>
      </w:pPr>
    </w:p>
    <w:p>
      <w:pPr>
        <w:jc w:val="both"/>
        <w:ind w:left="940"/>
        <w:spacing w:after="0" w:line="264" w:lineRule="auto"/>
        <w:rPr>
          <w:sz w:val="20"/>
          <w:szCs w:val="20"/>
          <w:color w:val="auto"/>
        </w:rPr>
      </w:pPr>
      <w:r>
        <w:rPr>
          <w:rFonts w:ascii="Arial" w:cs="Arial" w:eastAsia="Arial" w:hAnsi="Arial"/>
          <w:sz w:val="19"/>
          <w:szCs w:val="19"/>
          <w:color w:val="auto"/>
        </w:rPr>
        <w:t xml:space="preserve">3.8.1 Concurrently with the execution of this Agreement, Purchaser and Seller shall execute, acknowledge and deliver to Escrow a recordable </w:t>
      </w:r>
      <w:r>
        <w:rPr>
          <w:rFonts w:ascii="Arial" w:cs="Arial" w:eastAsia="Arial" w:hAnsi="Arial"/>
          <w:sz w:val="19"/>
          <w:szCs w:val="19"/>
          <w:i w:val="1"/>
          <w:iCs w:val="1"/>
          <w:color w:val="auto"/>
        </w:rPr>
        <w:t>Memorandum of Agreement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Memorandum</w:t>
      </w:r>
      <w:r>
        <w:rPr>
          <w:rFonts w:ascii="Arial" w:cs="Arial" w:eastAsia="Arial" w:hAnsi="Arial"/>
          <w:sz w:val="19"/>
          <w:szCs w:val="19"/>
          <w:color w:val="auto"/>
        </w:rPr>
        <w:t xml:space="preserve">”) in the form attached hereto as </w:t>
      </w:r>
      <w:r>
        <w:rPr>
          <w:rFonts w:ascii="Arial" w:cs="Arial" w:eastAsia="Arial" w:hAnsi="Arial"/>
          <w:sz w:val="19"/>
          <w:szCs w:val="19"/>
          <w:u w:val="single" w:color="auto"/>
          <w:color w:val="auto"/>
        </w:rPr>
        <w:t>Exhibit G-1</w:t>
      </w:r>
      <w:r>
        <w:rPr>
          <w:rFonts w:ascii="Arial" w:cs="Arial" w:eastAsia="Arial" w:hAnsi="Arial"/>
          <w:sz w:val="19"/>
          <w:szCs w:val="19"/>
          <w:color w:val="auto"/>
        </w:rPr>
        <w:t xml:space="preserve"> together with a </w:t>
      </w:r>
      <w:r>
        <w:rPr>
          <w:rFonts w:ascii="Arial" w:cs="Arial" w:eastAsia="Arial" w:hAnsi="Arial"/>
          <w:sz w:val="19"/>
          <w:szCs w:val="19"/>
          <w:i w:val="1"/>
          <w:iCs w:val="1"/>
          <w:color w:val="auto"/>
        </w:rPr>
        <w:t>Termination and Release of Memorandum of Agreement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Termination Agreement</w:t>
      </w:r>
      <w:r>
        <w:rPr>
          <w:rFonts w:ascii="Arial" w:cs="Arial" w:eastAsia="Arial" w:hAnsi="Arial"/>
          <w:sz w:val="19"/>
          <w:szCs w:val="19"/>
          <w:color w:val="auto"/>
        </w:rPr>
        <w:t xml:space="preserve">”) in the form attached hereto as </w:t>
      </w:r>
      <w:r>
        <w:rPr>
          <w:rFonts w:ascii="Arial" w:cs="Arial" w:eastAsia="Arial" w:hAnsi="Arial"/>
          <w:sz w:val="19"/>
          <w:szCs w:val="19"/>
          <w:u w:val="single" w:color="auto"/>
          <w:color w:val="auto"/>
        </w:rPr>
        <w:t>Exhibit G-2</w:t>
      </w:r>
      <w:r>
        <w:rPr>
          <w:rFonts w:ascii="Arial" w:cs="Arial" w:eastAsia="Arial" w:hAnsi="Arial"/>
          <w:sz w:val="19"/>
          <w:szCs w:val="19"/>
          <w:color w:val="auto"/>
        </w:rPr>
        <w:t>.</w:t>
      </w:r>
    </w:p>
    <w:p>
      <w:pPr>
        <w:spacing w:after="0" w:line="127" w:lineRule="exact"/>
        <w:rPr>
          <w:sz w:val="20"/>
          <w:szCs w:val="20"/>
          <w:color w:val="auto"/>
        </w:rPr>
      </w:pPr>
    </w:p>
    <w:p>
      <w:pPr>
        <w:jc w:val="both"/>
        <w:ind w:left="940"/>
        <w:spacing w:after="0" w:line="266" w:lineRule="auto"/>
        <w:rPr>
          <w:sz w:val="20"/>
          <w:szCs w:val="20"/>
          <w:color w:val="auto"/>
        </w:rPr>
      </w:pPr>
      <w:r>
        <w:rPr>
          <w:rFonts w:ascii="Arial" w:cs="Arial" w:eastAsia="Arial" w:hAnsi="Arial"/>
          <w:sz w:val="19"/>
          <w:szCs w:val="19"/>
          <w:color w:val="auto"/>
        </w:rPr>
        <w:t>3.8.2 Escrow is irrevocably instructed to immediately (i) insert the date in the preamble of the Memorandum and (ii) record the Memorandum in the Official Records of Orange County (the “</w:t>
      </w:r>
      <w:r>
        <w:rPr>
          <w:rFonts w:ascii="Arial" w:cs="Arial" w:eastAsia="Arial" w:hAnsi="Arial"/>
          <w:sz w:val="19"/>
          <w:szCs w:val="19"/>
          <w:b w:val="1"/>
          <w:bCs w:val="1"/>
          <w:color w:val="auto"/>
        </w:rPr>
        <w:t>Official Records</w:t>
      </w:r>
      <w:r>
        <w:rPr>
          <w:rFonts w:ascii="Arial" w:cs="Arial" w:eastAsia="Arial" w:hAnsi="Arial"/>
          <w:sz w:val="19"/>
          <w:szCs w:val="19"/>
          <w:color w:val="auto"/>
        </w:rPr>
        <w:t>”) and provide Purchaser and Seller with a recorded copy thereof.</w:t>
      </w:r>
    </w:p>
    <w:p>
      <w:pPr>
        <w:spacing w:after="0" w:line="113" w:lineRule="exact"/>
        <w:rPr>
          <w:sz w:val="20"/>
          <w:szCs w:val="20"/>
          <w:color w:val="auto"/>
        </w:rPr>
      </w:pPr>
    </w:p>
    <w:p>
      <w:pPr>
        <w:jc w:val="both"/>
        <w:ind w:left="940"/>
        <w:spacing w:after="0" w:line="295" w:lineRule="auto"/>
        <w:rPr>
          <w:sz w:val="20"/>
          <w:szCs w:val="20"/>
          <w:color w:val="auto"/>
        </w:rPr>
      </w:pPr>
      <w:r>
        <w:rPr>
          <w:rFonts w:ascii="Arial" w:cs="Arial" w:eastAsia="Arial" w:hAnsi="Arial"/>
          <w:sz w:val="17"/>
          <w:szCs w:val="17"/>
          <w:color w:val="auto"/>
        </w:rPr>
        <w:t>3.8.3 If the Close of Escrow does not occur by the scheduled Closing Date (defined below), as same may be extended, for any reason other than Seller’s default, then Escrow shall record the Termination Agreement in the Official Records upon the earlier of</w:t>
      </w:r>
    </w:p>
    <w:p>
      <w:pPr>
        <w:spacing w:after="0" w:line="1" w:lineRule="exact"/>
        <w:rPr>
          <w:sz w:val="20"/>
          <w:szCs w:val="20"/>
          <w:color w:val="auto"/>
        </w:rPr>
      </w:pPr>
    </w:p>
    <w:p>
      <w:pPr>
        <w:ind w:left="940" w:firstLine="4"/>
        <w:spacing w:after="0" w:line="264" w:lineRule="auto"/>
        <w:tabs>
          <w:tab w:leader="none" w:pos="1204"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Purchaser’s election to terminate this Agreement pursuant to a provision in this Agreement permitting Purchaser to terminate; or (b) Seller’s termination of this Agreement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jc w:val="both"/>
        <w:ind w:left="320" w:hanging="320"/>
        <w:spacing w:after="0" w:line="256" w:lineRule="auto"/>
        <w:tabs>
          <w:tab w:leader="none" w:pos="32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Lease; Adjacent Property</w:t>
      </w:r>
      <w:r>
        <w:rPr>
          <w:rFonts w:ascii="Arial" w:cs="Arial" w:eastAsia="Arial" w:hAnsi="Arial"/>
          <w:sz w:val="19"/>
          <w:szCs w:val="19"/>
          <w:color w:val="auto"/>
        </w:rPr>
        <w:t xml:space="preserve">. In connection with and upon the Closing, Seller and Purchaser shall enter into a lease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Lease</w:t>
      </w:r>
      <w:r>
        <w:rPr>
          <w:rFonts w:ascii="Arial" w:cs="Arial" w:eastAsia="Arial" w:hAnsi="Arial"/>
          <w:sz w:val="19"/>
          <w:szCs w:val="19"/>
          <w:color w:val="auto"/>
        </w:rPr>
        <w:t xml:space="preserve">”), pursuant to which Purchaser will lease to Seller, and Seller will lease from Purchaser, the Property after Closing for a period of fifteen (15) months subject to renewal options. Purchaser and Seller acknowledge that Purchaser intends to acquire that certain real property located in Orange County, California that is adjacent to the Property and which is more particularly described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Adjacent Property</w:t>
      </w:r>
      <w:r>
        <w:rPr>
          <w:rFonts w:ascii="Arial" w:cs="Arial" w:eastAsia="Arial" w:hAnsi="Arial"/>
          <w:sz w:val="19"/>
          <w:szCs w:val="19"/>
          <w:color w:val="auto"/>
        </w:rPr>
        <w:t>”) . In the event Purchaser or any of its affiliates acquires the Adjacent Property, Purchaser and Seller shall include the Adjacent Property as part of the property leased by Seller pursuant to the Lease, and if the Adjacent Property is acquired subsequent to the Closing, Purchaser and Seller shall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920"/>
          </w:cols>
          <w:pgMar w:left="640" w:top="1440" w:right="339" w:bottom="1440" w:gutter="0" w:footer="0" w:header="0"/>
        </w:sectPr>
      </w:pPr>
    </w:p>
    <w:bookmarkStart w:id="96" w:name="page97"/>
    <w:bookmarkEnd w:id="96"/>
    <w:p>
      <w:pPr>
        <w:spacing w:after="0" w:line="99" w:lineRule="exact"/>
        <w:rPr>
          <w:sz w:val="20"/>
          <w:szCs w:val="20"/>
          <w:color w:val="auto"/>
        </w:rPr>
      </w:pPr>
    </w:p>
    <w:p>
      <w:pPr>
        <w:ind w:left="320"/>
        <w:spacing w:after="0" w:line="288" w:lineRule="auto"/>
        <w:rPr>
          <w:sz w:val="20"/>
          <w:szCs w:val="20"/>
          <w:color w:val="auto"/>
        </w:rPr>
      </w:pPr>
      <w:r>
        <w:rPr>
          <w:rFonts w:ascii="Arial" w:cs="Arial" w:eastAsia="Arial" w:hAnsi="Arial"/>
          <w:sz w:val="19"/>
          <w:szCs w:val="19"/>
          <w:color w:val="auto"/>
        </w:rPr>
        <w:t xml:space="preserve">any amendment to the Lease necessary to include the Adjacent Property as part of the property leased pursuant to the Lease.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w:t>
      </w:r>
      <w:r>
        <w:rPr>
          <w:rFonts w:ascii="Arial" w:cs="Arial" w:eastAsia="Arial" w:hAnsi="Arial"/>
          <w:sz w:val="19"/>
          <w:szCs w:val="19"/>
          <w:color w:val="auto"/>
        </w:rPr>
        <w:t xml:space="preserve"> shall survive the Closing.</w:t>
      </w:r>
    </w:p>
    <w:p>
      <w:pPr>
        <w:spacing w:after="0" w:line="92" w:lineRule="exact"/>
        <w:rPr>
          <w:sz w:val="20"/>
          <w:szCs w:val="20"/>
          <w:color w:val="auto"/>
        </w:rPr>
      </w:pPr>
    </w:p>
    <w:p>
      <w:pPr>
        <w:ind w:left="320" w:hanging="320"/>
        <w:spacing w:after="0"/>
        <w:tabs>
          <w:tab w:leader="none" w:pos="32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Representations, Warranties and Covenants of Seller</w:t>
      </w:r>
      <w:r>
        <w:rPr>
          <w:rFonts w:ascii="Arial" w:cs="Arial" w:eastAsia="Arial" w:hAnsi="Arial"/>
          <w:sz w:val="19"/>
          <w:szCs w:val="19"/>
          <w:color w:val="auto"/>
        </w:rPr>
        <w:t>. Seller represents, warrants and covenants to Purchaser as follows:</w:t>
      </w:r>
    </w:p>
    <w:p>
      <w:pPr>
        <w:spacing w:after="0" w:line="174" w:lineRule="exact"/>
        <w:rPr>
          <w:rFonts w:ascii="Arial" w:cs="Arial" w:eastAsia="Arial" w:hAnsi="Arial"/>
          <w:sz w:val="19"/>
          <w:szCs w:val="19"/>
          <w:color w:val="auto"/>
        </w:rPr>
      </w:pPr>
    </w:p>
    <w:p>
      <w:pPr>
        <w:jc w:val="both"/>
        <w:ind w:left="320"/>
        <w:spacing w:after="0" w:line="270" w:lineRule="auto"/>
        <w:rPr>
          <w:rFonts w:ascii="Arial" w:cs="Arial" w:eastAsia="Arial" w:hAnsi="Arial"/>
          <w:sz w:val="19"/>
          <w:szCs w:val="19"/>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Authority</w:t>
      </w:r>
      <w:r>
        <w:rPr>
          <w:rFonts w:ascii="Arial" w:cs="Arial" w:eastAsia="Arial" w:hAnsi="Arial"/>
          <w:sz w:val="18"/>
          <w:szCs w:val="18"/>
          <w:color w:val="auto"/>
        </w:rPr>
        <w:t>. Seller is a duly organized and validly existing corporation in good standing under the laws of the state of its formation. Seller has full capacity, right, power and authority to execute and deliver this Agreement and all required action and approvals therefor have been duly taken and obtained. The individual signing this Agreement on behalf of Seller is duly authorized to sign the same on Seller’s behalf and to bind Seller hereto. On or before the Closing Date, the individuals signing all other documents executed or to be executed pursuant hereto shall be duly authorized to sign the same on Seller’s behalf and to bind Seller thereto. This Agreement shall be binding upon and enforceable against Seller in accordance with its terms. No authorization, consent, or approval of any third party or governmental authority (including courts) is required for the execution and delivery by Seller of this Agreement or the performance of its obligations hereunder. On the Closing Date, all documents to be executed pursuant hereto shall be binding upon and enforceable against Seller in accordance with their respective terms. Neither the execution, delivery or performance of this Agreement by Seller, nor the consummation of the transactions contemplated hereby will (a) violate or conflict with any provision of the organizational documents of Seller or contracts to which it is a party, or (b) violate any order, judgment, injunction, award or decree of any court or arbitration body, by or to which Seller or the Property are or may be bound or subject.</w:t>
      </w:r>
    </w:p>
    <w:p>
      <w:pPr>
        <w:spacing w:after="0" w:line="130" w:lineRule="exact"/>
        <w:rPr>
          <w:rFonts w:ascii="Arial" w:cs="Arial" w:eastAsia="Arial" w:hAnsi="Arial"/>
          <w:sz w:val="19"/>
          <w:szCs w:val="19"/>
          <w:color w:val="auto"/>
        </w:rPr>
      </w:pPr>
    </w:p>
    <w:p>
      <w:pPr>
        <w:jc w:val="both"/>
        <w:ind w:left="320"/>
        <w:spacing w:after="0" w:line="276" w:lineRule="auto"/>
        <w:rPr>
          <w:rFonts w:ascii="Arial" w:cs="Arial" w:eastAsia="Arial" w:hAnsi="Arial"/>
          <w:sz w:val="19"/>
          <w:szCs w:val="19"/>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Actions</w:t>
      </w:r>
      <w:r>
        <w:rPr>
          <w:rFonts w:ascii="Arial" w:cs="Arial" w:eastAsia="Arial" w:hAnsi="Arial"/>
          <w:sz w:val="18"/>
          <w:szCs w:val="18"/>
          <w:color w:val="auto"/>
        </w:rPr>
        <w:t>. There are no actions, suits or proceedings pending or, to the knowledge of Seller, threatened, against or affecting Seller which, if determined adversely to Seller, would adversely affect its ability to perform its obligations hereunder. Seller has not (a) made a general assignment for the benefit of creditors, (b) filed any voluntary petition in bankruptcy or suffered the filing of an involuntary petition of Seller’s creditors, (c) suffered the appointment of a receiver to take possession of all, or substantially all, of Seller’s assets, (d) suffered the attachment or other judicial seizure of all, or substantially all, of Seller’s assets, (e) admitted in writing it inability to pay its debts as they come due, or (f) made an offer of settlement, extension or composition to its creditors generally.</w:t>
      </w:r>
    </w:p>
    <w:p>
      <w:pPr>
        <w:spacing w:after="0" w:line="106" w:lineRule="exact"/>
        <w:rPr>
          <w:rFonts w:ascii="Arial" w:cs="Arial" w:eastAsia="Arial" w:hAnsi="Arial"/>
          <w:sz w:val="19"/>
          <w:szCs w:val="19"/>
          <w:color w:val="auto"/>
        </w:rPr>
      </w:pPr>
    </w:p>
    <w:p>
      <w:pPr>
        <w:ind w:left="320"/>
        <w:spacing w:after="0" w:line="288" w:lineRule="auto"/>
        <w:rPr>
          <w:rFonts w:ascii="Arial" w:cs="Arial" w:eastAsia="Arial" w:hAnsi="Arial"/>
          <w:sz w:val="19"/>
          <w:szCs w:val="19"/>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Foreign Person</w:t>
      </w:r>
      <w:r>
        <w:rPr>
          <w:rFonts w:ascii="Arial" w:cs="Arial" w:eastAsia="Arial" w:hAnsi="Arial"/>
          <w:sz w:val="19"/>
          <w:szCs w:val="19"/>
          <w:color w:val="auto"/>
        </w:rPr>
        <w:t>. Seller is not a “foreign person” or “disregarded” entity” as defined in Section 1445 of the Code; Seller’s taxpayer identification number is 73-1213383.</w:t>
      </w:r>
    </w:p>
    <w:p>
      <w:pPr>
        <w:spacing w:after="0" w:line="105" w:lineRule="exact"/>
        <w:rPr>
          <w:rFonts w:ascii="Arial" w:cs="Arial" w:eastAsia="Arial" w:hAnsi="Arial"/>
          <w:sz w:val="19"/>
          <w:szCs w:val="19"/>
          <w:color w:val="auto"/>
        </w:rPr>
      </w:pPr>
    </w:p>
    <w:p>
      <w:pPr>
        <w:jc w:val="both"/>
        <w:ind w:left="320"/>
        <w:spacing w:after="0" w:line="256" w:lineRule="auto"/>
        <w:rPr>
          <w:rFonts w:ascii="Arial" w:cs="Arial" w:eastAsia="Arial" w:hAnsi="Arial"/>
          <w:sz w:val="19"/>
          <w:szCs w:val="19"/>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Anti-Terrorism</w:t>
      </w:r>
      <w:r>
        <w:rPr>
          <w:rFonts w:ascii="Arial" w:cs="Arial" w:eastAsia="Arial" w:hAnsi="Arial"/>
          <w:sz w:val="19"/>
          <w:szCs w:val="19"/>
          <w:color w:val="auto"/>
        </w:rPr>
        <w:t>. Neither Seller nor, to Seller’s actual knowledge, any of its affiliates, is in violation of the Anti-Money Laundering and Anti-Terrorism Laws. Neither Seller nor, to Seller’s actual knowledge, any of its affiliates, is acting, directly or indirectly, on behalf of terrorists, terrorist organizations or narcotics traffickers, including those persons or entities that appear on the Annex to Executive Order No. 13224, 66 Fed. Reg. 49079 (Sept. 25, 2001) (the “</w:t>
      </w:r>
      <w:r>
        <w:rPr>
          <w:rFonts w:ascii="Arial" w:cs="Arial" w:eastAsia="Arial" w:hAnsi="Arial"/>
          <w:sz w:val="19"/>
          <w:szCs w:val="19"/>
          <w:u w:val="single" w:color="auto"/>
          <w:color w:val="auto"/>
        </w:rPr>
        <w:t>Executive Order</w:t>
      </w:r>
      <w:r>
        <w:rPr>
          <w:rFonts w:ascii="Arial" w:cs="Arial" w:eastAsia="Arial" w:hAnsi="Arial"/>
          <w:sz w:val="19"/>
          <w:szCs w:val="19"/>
          <w:color w:val="auto"/>
        </w:rPr>
        <w:t>”), or are included on any relevant lists maintained by the Office of Foreign Assets Control of U.S. Department of Treasury, U.S. Department of State, or other U.S. government agencies, all as may be amended from time to time (each, a “</w:t>
      </w:r>
      <w:r>
        <w:rPr>
          <w:rFonts w:ascii="Arial" w:cs="Arial" w:eastAsia="Arial" w:hAnsi="Arial"/>
          <w:sz w:val="19"/>
          <w:szCs w:val="19"/>
          <w:u w:val="single" w:color="auto"/>
          <w:color w:val="auto"/>
        </w:rPr>
        <w:t>Government List</w:t>
      </w:r>
      <w:r>
        <w:rPr>
          <w:rFonts w:ascii="Arial" w:cs="Arial" w:eastAsia="Arial" w:hAnsi="Arial"/>
          <w:sz w:val="19"/>
          <w:szCs w:val="19"/>
          <w:color w:val="auto"/>
        </w:rPr>
        <w:t>”). Neither Seller nor, to Seller’s actual knowledge, any of its affiliates, or, without inquiry, any of its brokers or other agents, in any capacity in connection with the sale of the Property (A) conducts any business or engages in making or receiving any contribution of funds, goods or services to or for the benefit of any person included in a Government List, (B) deals in, or otherwise engages in any transaction relating to, any property or interests in property blocked pursuant to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920"/>
          </w:cols>
          <w:pgMar w:left="640" w:top="1440" w:right="339" w:bottom="1440" w:gutter="0" w:footer="0" w:header="0"/>
        </w:sectPr>
      </w:pPr>
    </w:p>
    <w:bookmarkStart w:id="97" w:name="page98"/>
    <w:bookmarkEnd w:id="97"/>
    <w:p>
      <w:pPr>
        <w:spacing w:after="0" w:line="9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Order, or (C) engages in or conspires to engage in any transaction that evades or avoids, or has the purpose of evading or avoiding, or attempts to violate, any of the prohibitions set forth in any Anti-Money Laundering and Anti-Terrorism Laws. Neither Seller, nor any person controlling or controlled by Seller, is a country, territory, individual or entity named on a Government List, and the monies used by Seller in connection with this Agreement and amounts committed with respect hereto, were not and are not derived from any activities that contravene any applicable anti-money laundering, anti-terrorism or anti-bribery laws, rules, guidelines and regulations, including, without limitation, (i) the U.S. Foreign Corrupt Practices Act of 1977, (ii) the Bank Secrecy Act of 1970, as amended, (iii) applicable provisions of the USA PATRIOT Act of 2001, including all amendments thereto and regulations promulgated thereunder, (iv) the Executive Order, (v) the Money Laundering Control Act of 1986 and (v) Title 18 of the United States Code, Section 1956(c)(7)) (collectively, the “Anti-Money Laundering and Anti-Terrorism Laws”).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Anti-Bribery</w:t>
      </w:r>
      <w:r>
        <w:rPr>
          <w:rFonts w:ascii="Arial" w:cs="Arial" w:eastAsia="Arial" w:hAnsi="Arial"/>
          <w:sz w:val="19"/>
          <w:szCs w:val="19"/>
          <w:color w:val="auto"/>
        </w:rPr>
        <w:t>. Seller (a) has not offered, promised, given or agreed to give to any person or entity any bribe on behalf of Purchaser or its affiliates or otherwise with the object of obtaining a business advantage for Purchaser or its affiliates or otherwise; and (b) has not engaged in any activity or practice which would constitute an offense under any applicable anti-bribery and/or anti-corruption laws, including but not limited to the United States Foreign Corrupt Practices Act of 1977 with respect to the transactions contemplated by this Agreement.</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No Leases</w:t>
      </w:r>
      <w:r>
        <w:rPr>
          <w:rFonts w:ascii="Arial" w:cs="Arial" w:eastAsia="Arial" w:hAnsi="Arial"/>
          <w:sz w:val="19"/>
          <w:szCs w:val="19"/>
          <w:color w:val="auto"/>
        </w:rPr>
        <w:t>. The Property is not subject to any leases or other occupancy Agreements (other than the Lease to be entered into as of Closing).</w:t>
      </w:r>
    </w:p>
    <w:p>
      <w:pPr>
        <w:spacing w:after="0" w:line="10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Legal Requirements</w:t>
      </w:r>
      <w:r>
        <w:rPr>
          <w:rFonts w:ascii="Arial" w:cs="Arial" w:eastAsia="Arial" w:hAnsi="Arial"/>
          <w:sz w:val="19"/>
          <w:szCs w:val="19"/>
          <w:color w:val="auto"/>
        </w:rPr>
        <w:t>. To Seller’s Knowledge, Seller has not received any written notice of violation of any applicable law or regulation.</w:t>
      </w:r>
    </w:p>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7"/>
          <w:szCs w:val="17"/>
          <w:u w:val="single" w:color="auto"/>
          <w:color w:val="auto"/>
        </w:rPr>
        <w:t>Takings</w:t>
      </w:r>
      <w:r>
        <w:rPr>
          <w:rFonts w:ascii="Arial" w:cs="Arial" w:eastAsia="Arial" w:hAnsi="Arial"/>
          <w:sz w:val="17"/>
          <w:szCs w:val="17"/>
          <w:color w:val="auto"/>
        </w:rPr>
        <w:t>. To Seller’s Knowledge, Seller has not received any written notice of any condemnation or eminent domain proceedings.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pending, or to Seller’s Knowledge, threatened, judicial or administrative proceedings or investigations affecting or relating to the development, construction, use, operation or ownership of the Property.</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Except as disclosed in writing to Purchaser before the date hereof, to Seller’s Knowledge, (a) Seller has not received any written notice that (i) the Property is in violation of any Environmental Law or (ii) there has occurred any release of Hazardous Materials on, in, beneath the surface of or about the Property in violation of any Environmental Law and (b) Seller has not been required by any governmental agency to undertake any remediation activity with respect to Hazardous Materials on, in, beneath the surface of or about the Property. Except as disclosed in writing to Purchaser before the date hereof, to the Seller’s Knowledge, there are no storage tanks or wells (whether existing or abandoned) located on, under or about the Property.</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All representations and warranties of Seller contained in this Agreement are true and correct as of the Effective Date of this Agreement and shall be true and correct as of the Closing Date. All representations and warranties of Seller set forth herein shall survive the Closing for a period of nine (9) months. If, prior to Closing, upon Seller’s notice or otherwise, Purchaser becomes actually aware (as opposed to constructively aware) of the untruth or inaccuracy of, or facts or circumstances that would change materially, any representation or warranty of Seller in this Agreement, then Purchaser shall have the option of: (i) waiving such breach of representation or warranty and completing its purchase of the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600"/>
          </w:cols>
          <w:pgMar w:left="960" w:top="1440" w:right="339" w:bottom="1440" w:gutter="0" w:footer="0" w:header="0"/>
        </w:sectPr>
      </w:pPr>
    </w:p>
    <w:bookmarkStart w:id="98" w:name="page99"/>
    <w:bookmarkEnd w:id="98"/>
    <w:p>
      <w:pPr>
        <w:spacing w:after="0" w:line="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Property pursuant to this Agreement; or (ii) terminating this Agreement and proceeding in accordance with </w:t>
      </w:r>
      <w:r>
        <w:rPr>
          <w:rFonts w:ascii="Arial" w:cs="Arial" w:eastAsia="Arial" w:hAnsi="Arial"/>
          <w:sz w:val="19"/>
          <w:szCs w:val="19"/>
          <w:u w:val="single" w:color="auto"/>
          <w:color w:val="auto"/>
        </w:rPr>
        <w:t>Section 13.2</w:t>
      </w:r>
      <w:r>
        <w:rPr>
          <w:rFonts w:ascii="Arial" w:cs="Arial" w:eastAsia="Arial" w:hAnsi="Arial"/>
          <w:sz w:val="19"/>
          <w:szCs w:val="19"/>
          <w:color w:val="auto"/>
        </w:rPr>
        <w:t>.</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For purposes of this Agreement, (a)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shall mean any substance or material which is or contains: (i) any substance, waste or material now or hereafter defined in and/or regulated under any Environmental Law; (ii) gasoline, diesel fuel or other petroleum hydrocarbons;</w:t>
      </w:r>
    </w:p>
    <w:p>
      <w:pPr>
        <w:spacing w:after="0" w:line="1" w:lineRule="exact"/>
        <w:rPr>
          <w:sz w:val="20"/>
          <w:szCs w:val="20"/>
          <w:color w:val="auto"/>
        </w:rPr>
      </w:pPr>
    </w:p>
    <w:p>
      <w:pPr>
        <w:jc w:val="both"/>
        <w:ind w:firstLine="5"/>
        <w:spacing w:after="0" w:line="301" w:lineRule="auto"/>
        <w:tabs>
          <w:tab w:leader="none" w:pos="3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asbestos and asbestos containing materials, in any form, whether friable or nonfriable; (iv) polychlorinated biphenyls; (v) radon gas; or (vi) mold, mildew or other biological agents, (b) “</w:t>
      </w:r>
      <w:r>
        <w:rPr>
          <w:rFonts w:ascii="Arial" w:cs="Arial" w:eastAsia="Arial" w:hAnsi="Arial"/>
          <w:sz w:val="17"/>
          <w:szCs w:val="17"/>
          <w:u w:val="single" w:color="auto"/>
          <w:color w:val="auto"/>
        </w:rPr>
        <w:t>Environmental Law</w:t>
      </w:r>
      <w:r>
        <w:rPr>
          <w:rFonts w:ascii="Arial" w:cs="Arial" w:eastAsia="Arial" w:hAnsi="Arial"/>
          <w:sz w:val="17"/>
          <w:szCs w:val="17"/>
          <w:color w:val="auto"/>
        </w:rPr>
        <w:t>” shall mean any federal, state, local or administrative agency ordinance, law, rule, regulation, order or requirement relating to environmental conditions, human health or Hazardous Material, and the regulations promulgated pursuant to such laws, all as amended from time to time, and (c) “Seller’s Knowledge” shall mean the actual knowledge of Justin Sheets.</w:t>
      </w:r>
    </w:p>
    <w:p>
      <w:pPr>
        <w:spacing w:after="0" w:line="85" w:lineRule="exact"/>
        <w:rPr>
          <w:rFonts w:ascii="Arial" w:cs="Arial" w:eastAsia="Arial" w:hAnsi="Arial"/>
          <w:sz w:val="17"/>
          <w:szCs w:val="17"/>
          <w:color w:val="auto"/>
        </w:rPr>
      </w:pPr>
    </w:p>
    <w:p>
      <w:pPr>
        <w:ind w:left="640" w:hanging="320"/>
        <w:spacing w:after="0"/>
        <w:tabs>
          <w:tab w:leader="none" w:pos="640"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Purchaser</w:t>
      </w:r>
      <w:r>
        <w:rPr>
          <w:rFonts w:ascii="Arial" w:cs="Arial" w:eastAsia="Arial" w:hAnsi="Arial"/>
          <w:sz w:val="19"/>
          <w:szCs w:val="19"/>
          <w:color w:val="auto"/>
        </w:rPr>
        <w:t>. Purchaser represents and warrants to Seller as follows:</w:t>
      </w:r>
    </w:p>
    <w:p>
      <w:pPr>
        <w:spacing w:after="0" w:line="174" w:lineRule="exact"/>
        <w:rPr>
          <w:rFonts w:ascii="Arial" w:cs="Arial" w:eastAsia="Arial" w:hAnsi="Arial"/>
          <w:sz w:val="19"/>
          <w:szCs w:val="19"/>
          <w:color w:val="auto"/>
        </w:rPr>
      </w:pPr>
    </w:p>
    <w:p>
      <w:pPr>
        <w:jc w:val="both"/>
        <w:ind w:left="640"/>
        <w:spacing w:after="0" w:line="256" w:lineRule="auto"/>
        <w:rPr>
          <w:rFonts w:ascii="Arial" w:cs="Arial" w:eastAsia="Arial" w:hAnsi="Arial"/>
          <w:sz w:val="19"/>
          <w:szCs w:val="19"/>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Authority</w:t>
      </w:r>
      <w:r>
        <w:rPr>
          <w:rFonts w:ascii="Arial" w:cs="Arial" w:eastAsia="Arial" w:hAnsi="Arial"/>
          <w:sz w:val="19"/>
          <w:szCs w:val="19"/>
          <w:color w:val="auto"/>
        </w:rPr>
        <w:t>. Purchaser is a duly organized and validly existing limited liability company in good standing under the laws of the state of its organization. Purchaser has full capacity, right, power and authority to execute, deliver and perform this Agreement and all documents to be executed by Purchaser pursuant hereto, and all required action and approvals therefor have been duly taken and obtained. The individuals signing this Agreement and all other documents executed or to be executed pursuant hereto on behalf of Purchaser are and shall be duly authorized to sign the same on Purchaser’s behalf and to bind Purchaser thereto. This Agreement and all documents to be executed pursuant hereto by Purchaser are and shall be binding upon and enforceable against Purchaser in accordance with their respective terms. Neither the execution, delivery or performance of this Agreement by Purchaser, nor the consummation of the transactions contemplated hereby will (a) violate or conflict with any provision of the organizational documents of Purchaser, or (b) violate any order, judgment, injunction, award or decree of any court or arbitration body, by or to which Purchaser is or may be bound or subject.</w:t>
      </w:r>
    </w:p>
    <w:p>
      <w:pPr>
        <w:spacing w:after="0" w:line="134" w:lineRule="exact"/>
        <w:rPr>
          <w:rFonts w:ascii="Arial" w:cs="Arial" w:eastAsia="Arial" w:hAnsi="Arial"/>
          <w:sz w:val="19"/>
          <w:szCs w:val="19"/>
          <w:color w:val="auto"/>
        </w:rPr>
      </w:pPr>
    </w:p>
    <w:p>
      <w:pPr>
        <w:jc w:val="both"/>
        <w:ind w:left="640"/>
        <w:spacing w:after="0" w:line="266" w:lineRule="auto"/>
        <w:rPr>
          <w:rFonts w:ascii="Arial" w:cs="Arial" w:eastAsia="Arial" w:hAnsi="Arial"/>
          <w:sz w:val="19"/>
          <w:szCs w:val="19"/>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Accuracy of Representations and Warranties</w:t>
      </w:r>
      <w:r>
        <w:rPr>
          <w:rFonts w:ascii="Arial" w:cs="Arial" w:eastAsia="Arial" w:hAnsi="Arial"/>
          <w:sz w:val="19"/>
          <w:szCs w:val="19"/>
          <w:color w:val="auto"/>
        </w:rPr>
        <w:t>. All representations and warranties of Purchaser contained in this Agreement are true and correct as of the Effective Date of this Agreement and shall be true and correct as of the Closing Date. All representations and warranties of Purchaser set forth herein shall survive the Closing for a period of nine (9) months.</w:t>
      </w:r>
    </w:p>
    <w:p>
      <w:pPr>
        <w:spacing w:after="0" w:line="106"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6.3</w:t>
      </w:r>
      <w:r>
        <w:rPr>
          <w:rFonts w:ascii="Arial" w:cs="Arial" w:eastAsia="Arial" w:hAnsi="Arial"/>
          <w:sz w:val="19"/>
          <w:szCs w:val="19"/>
          <w:u w:val="single" w:color="auto"/>
          <w:color w:val="auto"/>
        </w:rPr>
        <w:t>As-Is</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EXCEPT AS EXPRESSLY SET FORTH IN THIS AGREEMENT, PURCHASER ACKNOWLEDGES AND</w:t>
      </w:r>
    </w:p>
    <w:p>
      <w:pPr>
        <w:spacing w:after="0" w:line="32" w:lineRule="exact"/>
        <w:rPr>
          <w:rFonts w:ascii="Arial" w:cs="Arial" w:eastAsia="Arial" w:hAnsi="Arial"/>
          <w:sz w:val="19"/>
          <w:szCs w:val="19"/>
          <w:color w:val="auto"/>
        </w:rPr>
      </w:pPr>
    </w:p>
    <w:p>
      <w:pPr>
        <w:jc w:val="both"/>
        <w:ind w:left="640"/>
        <w:spacing w:after="0" w:line="255" w:lineRule="auto"/>
        <w:rPr>
          <w:rFonts w:ascii="Arial" w:cs="Arial" w:eastAsia="Arial" w:hAnsi="Arial"/>
          <w:sz w:val="19"/>
          <w:szCs w:val="19"/>
          <w:color w:val="auto"/>
        </w:rPr>
      </w:pPr>
      <w:r>
        <w:rPr>
          <w:rFonts w:ascii="Arial" w:cs="Arial" w:eastAsia="Arial" w:hAnsi="Arial"/>
          <w:sz w:val="19"/>
          <w:szCs w:val="19"/>
          <w:b w:val="1"/>
          <w:bCs w:val="1"/>
          <w:color w:val="auto"/>
        </w:rPr>
        <w:t>AGREES THAT SELLER HAS NOT MADE AND DOES NOT MAKE ANY REPRESENTATIONS, WARRANTIES, PROMISES, COVENANTS, AGREEMENTS OR GUARANTIES OF ANY KIND OR CHARACTER WHATSOEVER, WHETHER EXPRESS OR IMPLIED, ORAL OR WRITTEN, PAST, PRESENT OR FUTURE, OF, AS TO, CONCERNING OR WITH RESPECT TO THE PROPERTY OR THE TRANSACTIONS CONTEMPLATED BY THIS AGREEMENT INCLUDING, WITHOUT LIMITATION, ANY REPRESENTATION OR WARRANTY CONCERNING THE PHYSICAL CONDITION OF THE PROPERTY (INCLUDING THE CONDITION OF THE SOIL), THE ENVIRONMENTAL CONDITION OF THE REAL PROPERTY (INCLUDING THE PRESENCE OR ABSENCE OF HAZARDOUS SUBSTANCES ON OR AFFECTING THE REAL PROPERTY), THE COMPLIANCE OF THE PROPERTY WITH APPLICABLE LAW OR ANY OTHER REPRESENTATION OR WARRANTY RESPECTING ANY INCOME, EXPENSES, CHARGES, LIENS OR ENCUMBRANCES, RIGHT OR CLAIMS ON, AFFECTING OR PERTAINING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PROPERTY OR ANY PART THEREOF. PURCHASER FURTHER ACKNOWLEDGES AND AGREES THAT ANY DOCUMENTS OR INFORMATION PROVIDED BY SELLER TO PURCHASER ARE BEING MADE AVAILABLE TO PURCHASER FOR INFORMATIONAL PURPOSES ONLY, AND SELLER IS MAKING NO REPRESENTATIONS OR WARRANTIES REGARDING SUCH DOCUMENTS OR OTHER INFORMATION, INCLUDING THE ACCURACY OR COMPLETENESS OF ANY INFORMATION CONTAINED THEREIN. PURCHASER ACKNOWLEDGES THAT EFFECTIVE AS OF CLOSING, PURCHASER SHALL BE DEEMED TO HAVE EXAMINED, REVIEWED AND INSPECTED ALL MATTERS WHICH IN PURCHASER’S JUDGMENT BEAR UPON THE PROPERTY AND ITS VALUE AND SUITABILITY FOR PURCHASER’S PURPOSES. EXCEPT AS TO THE REPRESENTATIONS, WARRANTIES, AGREEMENTS AND OTHER MATTERS SPECIFICALLY SET FORTH IN THIS AGREEMENT, THE SALE OF THE PROPERTY AS PROVIDED FOR HEREIN IS MADE ON AN “AS IS/WHERE IS,” “WITH ALL FAULTS” CONDITION AND BASIS</w:t>
      </w:r>
      <w:r>
        <w:rPr>
          <w:rFonts w:ascii="Arial" w:cs="Arial" w:eastAsia="Arial" w:hAnsi="Arial"/>
          <w:sz w:val="19"/>
          <w:szCs w:val="19"/>
          <w:color w:val="auto"/>
        </w:rPr>
        <w:t>.</w:t>
      </w:r>
    </w:p>
    <w:p>
      <w:pPr>
        <w:spacing w:after="0" w:line="368"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SELLER’S INITIALS: PURCHASER’S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-10795</wp:posOffset>
            </wp:positionV>
            <wp:extent cx="304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Release</w:t>
      </w:r>
      <w:r>
        <w:rPr>
          <w:rFonts w:ascii="Arial" w:cs="Arial" w:eastAsia="Arial" w:hAnsi="Arial"/>
          <w:sz w:val="17"/>
          <w:szCs w:val="17"/>
          <w:color w:val="auto"/>
        </w:rPr>
        <w:t>. Except for the Excluded Matters (as defined below), Purchaser, on Purchaser’s own behalf and on behalf of Purchaser’s agents, members, partners, shareholders, employees, representatives, related and affiliated entities, successors and assigns (collectively, the “Purchaser Parties”) hereby, as of the Closing, releases, waives, discharges, and covenants not to sue Seller, and its shareholder(s), partners, members, managers, directors, officers, employees, representatives, property managers, asset managers, agents, attorneys, affiliated and related entities, heirs, successors and assigns (collectively, the “Released Parties”), and each of them, from and against any and all Losses (as defined in Section 12 below) arising from, related to the Property, including, without limitation, with respect to (a) any and all statements or opinions heretofore or hereafter made, or information furnished, by Seller to Purchaser or any of the Purchaser Parties; and (b) any and all losses, costs, claims, liabilities, expenses, demands or obligations of any kind or nature whatsoever attributable to the Property, whether arising or accruing before, on or after the date hereof and whether attributable to events or circumstances which have heretofore or may hereafter occur, including, without limitation, (i) all Losses with respect to the structural, physical, or environmental condition of the Property; and (ii) all Losses relating to the release of or the presence, discovery or removal of any Hazardous Materials in, at, about or under the Property, or for, connected with or arising out of any and all claims or causes of action based upon CERCLA (Comprehensive Environmental Response, Compensation, and Liability Act of 1980, 42 U.S.C. §§9601 et seq., as amended by SARA (Superfund Amendment and Reauthorization Act of 1986) and as may be further amended from time to time), the Resource Conservation and Recovery Act of 1976, 42 U.S.C. §§6901 et seq., or any related claims or causes of action or any other federal, state or municipal based statutory or regulatory causes of action for environmental contamination at, in, about or under the Property. Purchaser agrees that the above waiver and release extends to all Losses of any nature and kind whatsoever, known or unknown, suspected or unsuspected, and Purchaser, for itself and for the Purchaser Parties, waives the benefits of California Civil Code Section 1542, which provides as follows:</w:t>
      </w:r>
    </w:p>
    <w:p>
      <w:pPr>
        <w:spacing w:after="0" w:line="324" w:lineRule="exact"/>
        <w:rPr>
          <w:sz w:val="20"/>
          <w:szCs w:val="20"/>
          <w:color w:val="auto"/>
        </w:rPr>
      </w:pPr>
    </w:p>
    <w:p>
      <w:pPr>
        <w:jc w:val="both"/>
        <w:ind w:firstLine="629"/>
        <w:spacing w:after="0" w:line="266" w:lineRule="auto"/>
        <w:rPr>
          <w:sz w:val="20"/>
          <w:szCs w:val="20"/>
          <w:color w:val="auto"/>
        </w:rPr>
      </w:pPr>
      <w:r>
        <w:rPr>
          <w:rFonts w:ascii="Arial" w:cs="Arial" w:eastAsia="Arial" w:hAnsi="Arial"/>
          <w:sz w:val="19"/>
          <w:szCs w:val="19"/>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600"/>
          </w:cols>
          <w:pgMar w:left="960" w:top="1440" w:right="339" w:bottom="1440" w:gutter="0" w:footer="0" w:header="0"/>
        </w:sectPr>
      </w:pPr>
    </w:p>
    <w:bookmarkStart w:id="100" w:name="page101"/>
    <w:bookmarkEnd w:id="100"/>
    <w:p>
      <w:pPr>
        <w:spacing w:after="0" w:line="99" w:lineRule="exact"/>
        <w:rPr>
          <w:sz w:val="20"/>
          <w:szCs w:val="20"/>
          <w:color w:val="auto"/>
        </w:rPr>
      </w:pPr>
    </w:p>
    <w:p>
      <w:pPr>
        <w:jc w:val="both"/>
        <w:ind w:left="320" w:firstLine="629"/>
        <w:spacing w:after="0" w:line="273" w:lineRule="auto"/>
        <w:rPr>
          <w:sz w:val="20"/>
          <w:szCs w:val="20"/>
          <w:color w:val="auto"/>
        </w:rPr>
      </w:pPr>
      <w:r>
        <w:rPr>
          <w:rFonts w:ascii="Arial" w:cs="Arial" w:eastAsia="Arial" w:hAnsi="Arial"/>
          <w:sz w:val="18"/>
          <w:szCs w:val="18"/>
          <w:color w:val="auto"/>
        </w:rPr>
        <w:t>and all similar provisions or rules of law. Excluding the Excluded Matters, from and after the Closing, Purchaser elects to and does assume all risk for such Losses against the Released Parties which may be brought by Purchaser or Purchaser Parties heretofore and hereafter arising, whether now known or unknown by Purchaser. In connection therewith and to the greatest extent permitted by law, excluding the Excluded Matters, from and after the Closing, Purchaser hereby agrees, represents and warrants that Purchaser realizes and acknowledges that factual matters now unknown to Purchaser may have given or may hereafter give rise to Losses which are presently unknown, unanticipated and unsuspected, and Purchaser further agrees, represents and warrants that the waivers and releases herein have been negotiated and agreed upon in light of that realization and that Purchaser nevertheless hereby intends to release Seller from any such unknown Losses which might in any way be included as a material portion of the consideration given to Seller by Purchaser in exchange for Seller’s performance hereunder.</w:t>
      </w:r>
    </w:p>
    <w:p>
      <w:pPr>
        <w:spacing w:after="0" w:line="110" w:lineRule="exact"/>
        <w:rPr>
          <w:sz w:val="20"/>
          <w:szCs w:val="20"/>
          <w:color w:val="auto"/>
        </w:rPr>
      </w:pPr>
    </w:p>
    <w:p>
      <w:pPr>
        <w:jc w:val="both"/>
        <w:ind w:left="320" w:firstLine="629"/>
        <w:spacing w:after="0" w:line="275" w:lineRule="auto"/>
        <w:rPr>
          <w:sz w:val="20"/>
          <w:szCs w:val="20"/>
          <w:color w:val="auto"/>
        </w:rPr>
      </w:pPr>
      <w:r>
        <w:rPr>
          <w:rFonts w:ascii="Arial" w:cs="Arial" w:eastAsia="Arial" w:hAnsi="Arial"/>
          <w:sz w:val="18"/>
          <w:szCs w:val="18"/>
          <w:color w:val="auto"/>
        </w:rPr>
        <w:t xml:space="preserve">Notwithstanding anything in this Agreement, including without limitation,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to the contrary, the releases contained in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are not intended to and do not include (i) any claims arising from a breach of Seller’s express representations or warranties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(subject to the limitations, disclaimers and other provisions of this Agreement), (ii) any obligation or other covenant of Seller under this Agreement which by its express terms survives the Closing or any document delivered by Seller to Purchaser at Closing, (iii) any tort claims for personal injury or property damage arising from events that occurred prior to the Closing, expressly including without limitation any such claims arising in connection with the Adjacent Property to the extent of Seller’s liability therefor as tenant under the lease agreement with the owner of the Adjacent Property, as landlord, or (iv) any claims arising in connection with the Lease (the matters in the foregoing clauses (i) through (iv), the “</w:t>
      </w:r>
      <w:r>
        <w:rPr>
          <w:rFonts w:ascii="Arial" w:cs="Arial" w:eastAsia="Arial" w:hAnsi="Arial"/>
          <w:sz w:val="18"/>
          <w:szCs w:val="18"/>
          <w:b w:val="1"/>
          <w:bCs w:val="1"/>
          <w:u w:val="single" w:color="auto"/>
          <w:color w:val="auto"/>
        </w:rPr>
        <w:t>Excluded Matters</w:t>
      </w:r>
      <w:r>
        <w:rPr>
          <w:rFonts w:ascii="Arial" w:cs="Arial" w:eastAsia="Arial" w:hAnsi="Arial"/>
          <w:sz w:val="18"/>
          <w:szCs w:val="18"/>
          <w:color w:val="auto"/>
        </w:rPr>
        <w:t>”).</w:t>
      </w:r>
    </w:p>
    <w:p>
      <w:pPr>
        <w:spacing w:after="0" w:line="109" w:lineRule="exact"/>
        <w:rPr>
          <w:sz w:val="20"/>
          <w:szCs w:val="20"/>
          <w:color w:val="auto"/>
        </w:rPr>
      </w:pPr>
    </w:p>
    <w:p>
      <w:pPr>
        <w:jc w:val="both"/>
        <w:ind w:left="320" w:firstLine="629"/>
        <w:spacing w:after="0" w:line="266" w:lineRule="auto"/>
        <w:rPr>
          <w:sz w:val="20"/>
          <w:szCs w:val="20"/>
          <w:color w:val="auto"/>
        </w:rPr>
      </w:pPr>
      <w:r>
        <w:rPr>
          <w:rFonts w:ascii="Arial" w:cs="Arial" w:eastAsia="Arial" w:hAnsi="Arial"/>
          <w:sz w:val="19"/>
          <w:szCs w:val="19"/>
          <w:color w:val="auto"/>
        </w:rPr>
        <w:t xml:space="preserve">Seller has given Purchaser material concessions regarding this transaction in exchange for Purchaser agreeing to the provisions of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Seller and Purchaser have each initialed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to further indicate their awareness and acceptance of each and every provision hereof. The provisions of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shall survive the Closing.</w:t>
      </w:r>
    </w:p>
    <w:p>
      <w:pPr>
        <w:spacing w:after="0" w:line="120" w:lineRule="exact"/>
        <w:rPr>
          <w:sz w:val="20"/>
          <w:szCs w:val="20"/>
          <w:color w:val="auto"/>
        </w:rPr>
      </w:pPr>
    </w:p>
    <w:p>
      <w:pPr>
        <w:ind w:left="3780"/>
        <w:spacing w:after="0"/>
        <w:rPr>
          <w:sz w:val="20"/>
          <w:szCs w:val="20"/>
          <w:color w:val="auto"/>
        </w:rPr>
      </w:pPr>
      <w:r>
        <w:rPr>
          <w:rFonts w:ascii="Arial" w:cs="Arial" w:eastAsia="Arial" w:hAnsi="Arial"/>
          <w:sz w:val="19"/>
          <w:szCs w:val="19"/>
          <w:b w:val="1"/>
          <w:bCs w:val="1"/>
          <w:color w:val="auto"/>
        </w:rPr>
        <w:t>SELLER’S INITIALS: PURCHASER’S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-6985</wp:posOffset>
            </wp:positionV>
            <wp:extent cx="304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148" w:lineRule="exact"/>
        <w:rPr>
          <w:sz w:val="20"/>
          <w:szCs w:val="20"/>
          <w:color w:val="auto"/>
        </w:rPr>
      </w:pPr>
    </w:p>
    <w:p>
      <w:pPr>
        <w:jc w:val="both"/>
        <w:ind w:left="320" w:hanging="320"/>
        <w:spacing w:after="0" w:line="259" w:lineRule="auto"/>
        <w:tabs>
          <w:tab w:leader="none" w:pos="32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Each party hereby represents and warrants to the other that such party has not dealt with any broker or finder in respect to the transaction contemplated hereby other than Cushman &amp; Wakefield (“</w:t>
      </w:r>
      <w:r>
        <w:rPr>
          <w:rFonts w:ascii="Arial" w:cs="Arial" w:eastAsia="Arial" w:hAnsi="Arial"/>
          <w:sz w:val="19"/>
          <w:szCs w:val="19"/>
          <w:u w:val="single" w:color="auto"/>
          <w:color w:val="auto"/>
        </w:rPr>
        <w:t>Seller’s Broker</w:t>
      </w:r>
      <w:r>
        <w:rPr>
          <w:rFonts w:ascii="Arial" w:cs="Arial" w:eastAsia="Arial" w:hAnsi="Arial"/>
          <w:sz w:val="19"/>
          <w:szCs w:val="19"/>
          <w:color w:val="auto"/>
        </w:rPr>
        <w:t xml:space="preserve">”). The parties agree that the brokerage commission of Seller’s Broker shall be paid by the Seller at the Closing. In the event of any claim for a broker’s or finder’s fee or commission in connection with the transactions contemplated by this Agreement, (a) Seller shall indemnify and defend Purchaser from the claim, if such claim is based upon any agreement alleged to have been made by Seller and (b) Purchaser shall indemnify and defend Seller from the claim, if such claim is based upon any agreement alleged to have been made by Purchaser. The provisions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shall survive the Closing or termination of this Agreement.</w:t>
      </w:r>
    </w:p>
    <w:p>
      <w:pPr>
        <w:spacing w:after="0" w:line="132" w:lineRule="exact"/>
        <w:rPr>
          <w:rFonts w:ascii="Arial" w:cs="Arial" w:eastAsia="Arial" w:hAnsi="Arial"/>
          <w:sz w:val="19"/>
          <w:szCs w:val="19"/>
          <w:color w:val="auto"/>
        </w:rPr>
      </w:pPr>
    </w:p>
    <w:p>
      <w:pPr>
        <w:ind w:left="320" w:hanging="320"/>
        <w:spacing w:after="0"/>
        <w:tabs>
          <w:tab w:leader="none" w:pos="32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Costs; Prorations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ind w:left="320"/>
        <w:spacing w:after="0"/>
        <w:rPr>
          <w:rFonts w:ascii="Arial" w:cs="Arial" w:eastAsia="Arial" w:hAnsi="Arial"/>
          <w:sz w:val="19"/>
          <w:szCs w:val="19"/>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Purchaser’s Costs</w:t>
      </w:r>
      <w:r>
        <w:rPr>
          <w:rFonts w:ascii="Arial" w:cs="Arial" w:eastAsia="Arial" w:hAnsi="Arial"/>
          <w:sz w:val="19"/>
          <w:szCs w:val="19"/>
          <w:color w:val="auto"/>
        </w:rPr>
        <w:t>. Purchaser shall pay the following costs of closing the transactions contemplated by this Agreement:</w:t>
      </w:r>
    </w:p>
    <w:p>
      <w:pPr>
        <w:spacing w:after="0" w:line="175" w:lineRule="exact"/>
        <w:rPr>
          <w:sz w:val="20"/>
          <w:szCs w:val="20"/>
          <w:color w:val="auto"/>
        </w:rPr>
      </w:pPr>
    </w:p>
    <w:p>
      <w:pPr>
        <w:ind w:left="940"/>
        <w:spacing w:after="0" w:line="274" w:lineRule="auto"/>
        <w:rPr>
          <w:sz w:val="20"/>
          <w:szCs w:val="20"/>
          <w:color w:val="auto"/>
        </w:rPr>
      </w:pPr>
      <w:r>
        <w:rPr>
          <w:rFonts w:ascii="Arial" w:cs="Arial" w:eastAsia="Arial" w:hAnsi="Arial"/>
          <w:sz w:val="19"/>
          <w:szCs w:val="19"/>
          <w:color w:val="auto"/>
        </w:rPr>
        <w:t>8.1.1 Any title insurance charges and premiums incurred in connection with the issuance of the ALTA extended coverage portion of any title insurance policy (and endorsements thereto) to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920"/>
          </w:cols>
          <w:pgMar w:left="640" w:top="1440" w:right="339" w:bottom="1440" w:gutter="0" w:footer="0" w:header="0"/>
        </w:sectPr>
      </w:pPr>
    </w:p>
    <w:bookmarkStart w:id="101" w:name="page102"/>
    <w:bookmarkEnd w:id="101"/>
    <w:p>
      <w:pPr>
        <w:spacing w:after="0" w:line="99"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9"/>
          <w:szCs w:val="19"/>
          <w:color w:val="auto"/>
        </w:rPr>
        <w:t>8.1.2</w:t>
      </w:r>
      <w:r>
        <w:rPr>
          <w:sz w:val="20"/>
          <w:szCs w:val="20"/>
          <w:color w:val="auto"/>
        </w:rPr>
        <w:tab/>
      </w:r>
      <w:r>
        <w:rPr>
          <w:rFonts w:ascii="Arial" w:cs="Arial" w:eastAsia="Arial" w:hAnsi="Arial"/>
          <w:sz w:val="17"/>
          <w:szCs w:val="17"/>
          <w:color w:val="auto"/>
        </w:rPr>
        <w:t>One-half (1/2) of the closing costs or fees of the Title Company;</w:t>
      </w:r>
    </w:p>
    <w:p>
      <w:pPr>
        <w:spacing w:after="0" w:line="175" w:lineRule="exact"/>
        <w:rPr>
          <w:sz w:val="20"/>
          <w:szCs w:val="20"/>
          <w:color w:val="auto"/>
        </w:rPr>
      </w:pPr>
    </w:p>
    <w:p>
      <w:pPr>
        <w:ind w:left="940"/>
        <w:spacing w:after="0" w:line="274" w:lineRule="auto"/>
        <w:rPr>
          <w:sz w:val="20"/>
          <w:szCs w:val="20"/>
          <w:color w:val="auto"/>
        </w:rPr>
      </w:pPr>
      <w:r>
        <w:rPr>
          <w:rFonts w:ascii="Arial" w:cs="Arial" w:eastAsia="Arial" w:hAnsi="Arial"/>
          <w:sz w:val="19"/>
          <w:szCs w:val="19"/>
          <w:color w:val="auto"/>
        </w:rPr>
        <w:t>8.1.3 Any recording fees incurred in connection with the recording of any of the conveyance instruments required to be delivered by Seller under this Agreement; and</w:t>
      </w:r>
    </w:p>
    <w:p>
      <w:pPr>
        <w:spacing w:after="0" w:line="117" w:lineRule="exact"/>
        <w:rPr>
          <w:sz w:val="20"/>
          <w:szCs w:val="20"/>
          <w:color w:val="auto"/>
        </w:rPr>
      </w:pPr>
    </w:p>
    <w:p>
      <w:pPr>
        <w:ind w:left="940"/>
        <w:spacing w:after="0" w:line="274" w:lineRule="auto"/>
        <w:rPr>
          <w:sz w:val="20"/>
          <w:szCs w:val="20"/>
          <w:color w:val="auto"/>
        </w:rPr>
      </w:pPr>
      <w:r>
        <w:rPr>
          <w:rFonts w:ascii="Arial" w:cs="Arial" w:eastAsia="Arial" w:hAnsi="Arial"/>
          <w:sz w:val="19"/>
          <w:szCs w:val="19"/>
          <w:color w:val="auto"/>
        </w:rPr>
        <w:t>8.1.4 Any other expense(s) incurred by Purchaser or its representative(s) in inspecting or evaluating the Property, including, without limitation, Purchaser’s inspecting architect and engineer.</w:t>
      </w:r>
    </w:p>
    <w:p>
      <w:pPr>
        <w:spacing w:after="0" w:line="117" w:lineRule="exact"/>
        <w:rPr>
          <w:sz w:val="20"/>
          <w:szCs w:val="20"/>
          <w:color w:val="auto"/>
        </w:rPr>
      </w:pPr>
    </w:p>
    <w:p>
      <w:pPr>
        <w:ind w:left="320"/>
        <w:spacing w:after="0"/>
        <w:tabs>
          <w:tab w:leader="none" w:pos="72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7"/>
          <w:szCs w:val="17"/>
          <w:u w:val="single" w:color="auto"/>
          <w:color w:val="auto"/>
        </w:rPr>
        <w:t>Seller’s Costs</w:t>
      </w:r>
      <w:r>
        <w:rPr>
          <w:rFonts w:ascii="Arial" w:cs="Arial" w:eastAsia="Arial" w:hAnsi="Arial"/>
          <w:sz w:val="17"/>
          <w:szCs w:val="17"/>
          <w:color w:val="auto"/>
        </w:rPr>
        <w:t>. Seller shall pay the following costs of closing the transaction contemplated by this Agreement:</w:t>
      </w:r>
    </w:p>
    <w:p>
      <w:pPr>
        <w:spacing w:after="0" w:line="17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9"/>
          <w:szCs w:val="19"/>
          <w:color w:val="auto"/>
        </w:rPr>
        <w:t>8.2.1</w:t>
      </w:r>
      <w:r>
        <w:rPr>
          <w:sz w:val="20"/>
          <w:szCs w:val="20"/>
          <w:color w:val="auto"/>
        </w:rPr>
        <w:tab/>
      </w:r>
      <w:r>
        <w:rPr>
          <w:rFonts w:ascii="Arial" w:cs="Arial" w:eastAsia="Arial" w:hAnsi="Arial"/>
          <w:sz w:val="17"/>
          <w:szCs w:val="17"/>
          <w:color w:val="auto"/>
        </w:rPr>
        <w:t>Any deed, documentary stamp and/or transfer taxes related to the sale of the Property;</w:t>
      </w:r>
    </w:p>
    <w:p>
      <w:pPr>
        <w:spacing w:after="0" w:line="162" w:lineRule="exact"/>
        <w:rPr>
          <w:sz w:val="20"/>
          <w:szCs w:val="20"/>
          <w:color w:val="auto"/>
        </w:rPr>
      </w:pPr>
    </w:p>
    <w:p>
      <w:pPr>
        <w:ind w:left="940"/>
        <w:spacing w:after="0" w:line="288" w:lineRule="auto"/>
        <w:rPr>
          <w:sz w:val="20"/>
          <w:szCs w:val="20"/>
          <w:color w:val="auto"/>
        </w:rPr>
      </w:pPr>
      <w:r>
        <w:rPr>
          <w:rFonts w:ascii="Arial" w:cs="Arial" w:eastAsia="Arial" w:hAnsi="Arial"/>
          <w:sz w:val="19"/>
          <w:szCs w:val="19"/>
          <w:color w:val="auto"/>
        </w:rPr>
        <w:t>8.2.2 Any title insurance charges and premiums incurred in connection with issuance of any title insurance policy (and endorsements thereto) to Purchaser;</w:t>
      </w:r>
    </w:p>
    <w:p>
      <w:pPr>
        <w:spacing w:after="0" w:line="92"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9"/>
          <w:szCs w:val="19"/>
          <w:color w:val="auto"/>
        </w:rPr>
        <w:t>8.2.3</w:t>
      </w:r>
      <w:r>
        <w:rPr>
          <w:sz w:val="20"/>
          <w:szCs w:val="20"/>
          <w:color w:val="auto"/>
        </w:rPr>
        <w:tab/>
      </w:r>
      <w:r>
        <w:rPr>
          <w:rFonts w:ascii="Arial" w:cs="Arial" w:eastAsia="Arial" w:hAnsi="Arial"/>
          <w:sz w:val="17"/>
          <w:szCs w:val="17"/>
          <w:color w:val="auto"/>
        </w:rPr>
        <w:t>Any charges incurred in connection with issuance of the Title Report;</w:t>
      </w:r>
    </w:p>
    <w:p>
      <w:pPr>
        <w:spacing w:after="0" w:line="17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9"/>
          <w:szCs w:val="19"/>
          <w:color w:val="auto"/>
        </w:rPr>
        <w:t>8.2.4</w:t>
      </w:r>
      <w:r>
        <w:rPr>
          <w:sz w:val="20"/>
          <w:szCs w:val="20"/>
          <w:color w:val="auto"/>
        </w:rPr>
        <w:tab/>
      </w:r>
      <w:r>
        <w:rPr>
          <w:rFonts w:ascii="Arial" w:cs="Arial" w:eastAsia="Arial" w:hAnsi="Arial"/>
          <w:sz w:val="17"/>
          <w:szCs w:val="17"/>
          <w:color w:val="auto"/>
        </w:rPr>
        <w:t>All costs incurred in connection with obtaining the Survey;</w:t>
      </w:r>
    </w:p>
    <w:p>
      <w:pPr>
        <w:spacing w:after="0" w:line="17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9"/>
          <w:szCs w:val="19"/>
          <w:color w:val="auto"/>
        </w:rPr>
        <w:t>8.2.5</w:t>
      </w:r>
      <w:r>
        <w:rPr>
          <w:sz w:val="20"/>
          <w:szCs w:val="20"/>
          <w:color w:val="auto"/>
        </w:rPr>
        <w:tab/>
      </w:r>
      <w:r>
        <w:rPr>
          <w:rFonts w:ascii="Arial" w:cs="Arial" w:eastAsia="Arial" w:hAnsi="Arial"/>
          <w:sz w:val="17"/>
          <w:szCs w:val="17"/>
          <w:color w:val="auto"/>
        </w:rPr>
        <w:t>All costs incurred in connection with obtaining the ESA; and</w:t>
      </w:r>
    </w:p>
    <w:p>
      <w:pPr>
        <w:spacing w:after="0" w:line="162" w:lineRule="exact"/>
        <w:rPr>
          <w:sz w:val="20"/>
          <w:szCs w:val="20"/>
          <w:color w:val="auto"/>
        </w:rPr>
      </w:pPr>
    </w:p>
    <w:p>
      <w:pPr>
        <w:ind w:left="940"/>
        <w:spacing w:after="0"/>
        <w:tabs>
          <w:tab w:leader="none" w:pos="1500" w:val="left"/>
        </w:tabs>
        <w:rPr>
          <w:sz w:val="20"/>
          <w:szCs w:val="20"/>
          <w:color w:val="auto"/>
        </w:rPr>
      </w:pPr>
      <w:r>
        <w:rPr>
          <w:rFonts w:ascii="Arial" w:cs="Arial" w:eastAsia="Arial" w:hAnsi="Arial"/>
          <w:sz w:val="19"/>
          <w:szCs w:val="19"/>
          <w:color w:val="auto"/>
        </w:rPr>
        <w:t>8.2.6</w:t>
      </w:r>
      <w:r>
        <w:rPr>
          <w:sz w:val="20"/>
          <w:szCs w:val="20"/>
          <w:color w:val="auto"/>
        </w:rPr>
        <w:tab/>
      </w:r>
      <w:r>
        <w:rPr>
          <w:rFonts w:ascii="Arial" w:cs="Arial" w:eastAsia="Arial" w:hAnsi="Arial"/>
          <w:sz w:val="17"/>
          <w:szCs w:val="17"/>
          <w:color w:val="auto"/>
        </w:rPr>
        <w:t>any costs related to the releases or satisfaction of the Deed of Trust.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all of which may be funded out of the Purchase Price.</w:t>
      </w:r>
    </w:p>
    <w:p>
      <w:pPr>
        <w:spacing w:after="0" w:line="162" w:lineRule="exact"/>
        <w:rPr>
          <w:sz w:val="20"/>
          <w:szCs w:val="20"/>
          <w:color w:val="auto"/>
        </w:rPr>
      </w:pPr>
    </w:p>
    <w:p>
      <w:pPr>
        <w:jc w:val="both"/>
        <w:ind w:left="320"/>
        <w:spacing w:after="0" w:line="27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Prorations</w:t>
      </w:r>
      <w:r>
        <w:rPr>
          <w:rFonts w:ascii="Arial" w:cs="Arial" w:eastAsia="Arial" w:hAnsi="Arial"/>
          <w:sz w:val="18"/>
          <w:szCs w:val="18"/>
          <w:color w:val="auto"/>
        </w:rPr>
        <w:t>. All ad valorem taxes assessed against Seller and the Property for any year prior to the year in which the Closing occurs, and any matured and unmatured installments of special assessments with respect to the Property due as of the Closing Date, shall be paid by Seller. Seller shall be solely responsible for any delinquent taxes. The real property taxes for the year in which the Closing occurs shall be prorated on a calendar year and per diem basis as of the Closing Date (based on actual prior year ad valorem taxes), and Purchaser agrees to accept as a credit against the Purchase Price the portion attributable to the period prior to the Closing Date. Purchaser agrees to pay (i) any supplemental assessments resulting from the sale of the Property to Purchaser, and (ii) all real and personal property taxes for all years subsequent to the Closing.</w:t>
      </w:r>
    </w:p>
    <w:p>
      <w:pPr>
        <w:spacing w:after="0" w:line="104" w:lineRule="exact"/>
        <w:rPr>
          <w:sz w:val="20"/>
          <w:szCs w:val="20"/>
          <w:color w:val="auto"/>
        </w:rPr>
      </w:pPr>
    </w:p>
    <w:p>
      <w:pPr>
        <w:ind w:left="320" w:hanging="320"/>
        <w:spacing w:after="0"/>
        <w:tabs>
          <w:tab w:leader="none" w:pos="32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Condemnation</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left="320"/>
        <w:spacing w:after="0" w:line="295" w:lineRule="auto"/>
        <w:rPr>
          <w:rFonts w:ascii="Arial" w:cs="Arial" w:eastAsia="Arial" w:hAnsi="Arial"/>
          <w:sz w:val="19"/>
          <w:szCs w:val="19"/>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Condemnation Event</w:t>
      </w:r>
      <w:r>
        <w:rPr>
          <w:rFonts w:ascii="Arial" w:cs="Arial" w:eastAsia="Arial" w:hAnsi="Arial"/>
          <w:sz w:val="17"/>
          <w:szCs w:val="17"/>
          <w:color w:val="auto"/>
        </w:rPr>
        <w:t xml:space="preserve">. If, prior to Closing, any portion thereof is taken under power of eminent domain, such that, in Purchaser’s reasonable determination the Property is rendered unsuitable for Purchaser’s intended purposes, then Purchaser may elect to terminate this Agreement by giving written notice of its election to Seller within ten (10) days after receiving notice of such taking. If Purchaser does not give such written notice to terminate this Agreement within such ten (10) day period, the transactions contemplated by this Agreement shall be consummated on the date and at the Purchase Price provided for in </w:t>
      </w:r>
      <w:r>
        <w:rPr>
          <w:rFonts w:ascii="Arial" w:cs="Arial" w:eastAsia="Arial" w:hAnsi="Arial"/>
          <w:sz w:val="17"/>
          <w:szCs w:val="17"/>
          <w:u w:val="single" w:color="auto"/>
          <w:color w:val="auto"/>
        </w:rPr>
        <w:t>Section 2</w:t>
      </w:r>
      <w:r>
        <w:rPr>
          <w:rFonts w:ascii="Arial" w:cs="Arial" w:eastAsia="Arial" w:hAnsi="Arial"/>
          <w:sz w:val="17"/>
          <w:szCs w:val="17"/>
          <w:color w:val="auto"/>
        </w:rPr>
        <w:t>, and Seller will assign to Purchaser the physical damage proceeds of any insurance policy(ies) payable to Seller, or Seller’s portion of any condemnation award.</w:t>
      </w:r>
    </w:p>
    <w:p>
      <w:pPr>
        <w:spacing w:after="0" w:line="105" w:lineRule="exact"/>
        <w:rPr>
          <w:rFonts w:ascii="Arial" w:cs="Arial" w:eastAsia="Arial" w:hAnsi="Arial"/>
          <w:sz w:val="19"/>
          <w:szCs w:val="19"/>
          <w:color w:val="auto"/>
        </w:rPr>
      </w:pPr>
    </w:p>
    <w:p>
      <w:pPr>
        <w:ind w:left="320"/>
        <w:spacing w:after="0" w:line="274" w:lineRule="auto"/>
        <w:rPr>
          <w:rFonts w:ascii="Arial" w:cs="Arial" w:eastAsia="Arial" w:hAnsi="Arial"/>
          <w:sz w:val="19"/>
          <w:szCs w:val="19"/>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Termination and Return of Deposit</w:t>
      </w:r>
      <w:r>
        <w:rPr>
          <w:rFonts w:ascii="Arial" w:cs="Arial" w:eastAsia="Arial" w:hAnsi="Arial"/>
          <w:sz w:val="19"/>
          <w:szCs w:val="19"/>
          <w:color w:val="auto"/>
        </w:rPr>
        <w:t xml:space="preserve">. If Purchaser elects to terminate this Agreement pursuant to this </w:t>
      </w:r>
      <w:r>
        <w:rPr>
          <w:rFonts w:ascii="Arial" w:cs="Arial" w:eastAsia="Arial" w:hAnsi="Arial"/>
          <w:sz w:val="19"/>
          <w:szCs w:val="19"/>
          <w:u w:val="single" w:color="auto"/>
          <w:color w:val="auto"/>
        </w:rPr>
        <w:t>Section 9</w:t>
      </w:r>
      <w:r>
        <w:rPr>
          <w:rFonts w:ascii="Arial" w:cs="Arial" w:eastAsia="Arial" w:hAnsi="Arial"/>
          <w:sz w:val="19"/>
          <w:szCs w:val="19"/>
          <w:color w:val="auto"/>
        </w:rPr>
        <w:t>, Seller shall promptly direct the Title Company to return the Deposit to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920"/>
          </w:cols>
          <w:pgMar w:left="640" w:top="1440" w:right="339" w:bottom="1440" w:gutter="0" w:footer="0" w:header="0"/>
        </w:sectPr>
      </w:pPr>
    </w:p>
    <w:bookmarkStart w:id="102" w:name="page103"/>
    <w:bookmarkEnd w:id="102"/>
    <w:p>
      <w:pPr>
        <w:spacing w:after="0" w:line="99" w:lineRule="exact"/>
        <w:rPr>
          <w:sz w:val="20"/>
          <w:szCs w:val="20"/>
          <w:color w:val="auto"/>
        </w:rPr>
      </w:pPr>
    </w:p>
    <w:p>
      <w:pPr>
        <w:ind w:left="300" w:hanging="300"/>
        <w:spacing w:after="0"/>
        <w:tabs>
          <w:tab w:leader="none" w:pos="30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w:t>
      </w:r>
    </w:p>
    <w:p>
      <w:pPr>
        <w:spacing w:after="0" w:line="175" w:lineRule="exact"/>
        <w:rPr>
          <w:sz w:val="20"/>
          <w:szCs w:val="20"/>
          <w:color w:val="auto"/>
        </w:rPr>
      </w:pPr>
    </w:p>
    <w:p>
      <w:pPr>
        <w:jc w:val="both"/>
        <w:ind w:left="320"/>
        <w:spacing w:after="0" w:line="31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Conditions Precedent to Purchaser’s Obligations</w:t>
      </w:r>
      <w:r>
        <w:rPr>
          <w:rFonts w:ascii="Arial" w:cs="Arial" w:eastAsia="Arial" w:hAnsi="Arial"/>
          <w:sz w:val="17"/>
          <w:szCs w:val="17"/>
          <w:color w:val="auto"/>
        </w:rPr>
        <w:t>. In addition to any other conditions precedent in favor of Purchaser set forth elsewhere in this Agreement, the obligations of Purchaser to consummate the transactions contemplated by this Agreement are subject to the satisfaction or waiver by Purchaser (if permitted by Applicable Law) at or prior to the Closing of each of the following conditions:</w:t>
      </w:r>
    </w:p>
    <w:p>
      <w:pPr>
        <w:spacing w:after="0" w:line="77" w:lineRule="exact"/>
        <w:rPr>
          <w:sz w:val="20"/>
          <w:szCs w:val="20"/>
          <w:color w:val="auto"/>
        </w:rPr>
      </w:pPr>
    </w:p>
    <w:p>
      <w:pPr>
        <w:jc w:val="both"/>
        <w:ind w:left="940"/>
        <w:spacing w:after="0" w:line="288" w:lineRule="auto"/>
        <w:rPr>
          <w:sz w:val="20"/>
          <w:szCs w:val="20"/>
          <w:color w:val="auto"/>
        </w:rPr>
      </w:pPr>
      <w:r>
        <w:rPr>
          <w:rFonts w:ascii="Arial" w:cs="Arial" w:eastAsia="Arial" w:hAnsi="Arial"/>
          <w:sz w:val="19"/>
          <w:szCs w:val="19"/>
          <w:color w:val="auto"/>
        </w:rPr>
        <w:t>10.1.1 The representations and warranties of Seller set forth in this Agreement must be true and correct in all material respects as of the Closing Date as though made on and as of the Closing Date;</w:t>
      </w:r>
    </w:p>
    <w:p>
      <w:pPr>
        <w:spacing w:after="0" w:line="105" w:lineRule="exact"/>
        <w:rPr>
          <w:sz w:val="20"/>
          <w:szCs w:val="20"/>
          <w:color w:val="auto"/>
        </w:rPr>
      </w:pPr>
    </w:p>
    <w:p>
      <w:pPr>
        <w:jc w:val="both"/>
        <w:ind w:left="940"/>
        <w:spacing w:after="0" w:line="274" w:lineRule="auto"/>
        <w:rPr>
          <w:sz w:val="20"/>
          <w:szCs w:val="20"/>
          <w:color w:val="auto"/>
        </w:rPr>
      </w:pPr>
      <w:r>
        <w:rPr>
          <w:rFonts w:ascii="Arial" w:cs="Arial" w:eastAsia="Arial" w:hAnsi="Arial"/>
          <w:sz w:val="19"/>
          <w:szCs w:val="19"/>
          <w:color w:val="auto"/>
        </w:rPr>
        <w:t>10.1.2 Seller must have performed and complied in all material respects with all material covenants and obligations required to be performed or complied with by it under this Agreement at or prior to the Closing; and</w:t>
      </w:r>
    </w:p>
    <w:p>
      <w:pPr>
        <w:spacing w:after="0" w:line="117"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9"/>
          <w:szCs w:val="19"/>
          <w:color w:val="auto"/>
        </w:rPr>
        <w:t>10.1.3</w:t>
      </w:r>
      <w:r>
        <w:rPr>
          <w:sz w:val="20"/>
          <w:szCs w:val="20"/>
          <w:color w:val="auto"/>
        </w:rPr>
        <w:tab/>
      </w:r>
      <w:r>
        <w:rPr>
          <w:rFonts w:ascii="Arial" w:cs="Arial" w:eastAsia="Arial" w:hAnsi="Arial"/>
          <w:sz w:val="17"/>
          <w:szCs w:val="17"/>
          <w:color w:val="auto"/>
        </w:rPr>
        <w:t xml:space="preserve">Seller must have delivered or caused to be delivered to Seller the items required by </w:t>
      </w:r>
      <w:r>
        <w:rPr>
          <w:rFonts w:ascii="Arial" w:cs="Arial" w:eastAsia="Arial" w:hAnsi="Arial"/>
          <w:sz w:val="17"/>
          <w:szCs w:val="17"/>
          <w:u w:val="single" w:color="auto"/>
          <w:color w:val="auto"/>
        </w:rPr>
        <w:t>Section 11.1</w:t>
      </w:r>
      <w:r>
        <w:rPr>
          <w:rFonts w:ascii="Arial" w:cs="Arial" w:eastAsia="Arial" w:hAnsi="Arial"/>
          <w:sz w:val="17"/>
          <w:szCs w:val="17"/>
          <w:color w:val="auto"/>
        </w:rPr>
        <w:t>.</w:t>
      </w:r>
    </w:p>
    <w:p>
      <w:pPr>
        <w:spacing w:after="0" w:line="162" w:lineRule="exact"/>
        <w:rPr>
          <w:sz w:val="20"/>
          <w:szCs w:val="20"/>
          <w:color w:val="auto"/>
        </w:rPr>
      </w:pPr>
    </w:p>
    <w:p>
      <w:pPr>
        <w:jc w:val="both"/>
        <w:ind w:left="940"/>
        <w:spacing w:after="0" w:line="280" w:lineRule="auto"/>
        <w:rPr>
          <w:sz w:val="20"/>
          <w:szCs w:val="20"/>
          <w:color w:val="auto"/>
        </w:rPr>
      </w:pPr>
      <w:r>
        <w:rPr>
          <w:rFonts w:ascii="Arial" w:cs="Arial" w:eastAsia="Arial" w:hAnsi="Arial"/>
          <w:sz w:val="18"/>
          <w:szCs w:val="18"/>
          <w:color w:val="auto"/>
        </w:rPr>
        <w:t xml:space="preserve">10.1.4 On the Closing Date, title to the Property shall be conveyed to Purchaser subject only to the Permitted Exceptions and the Title Company shall be irrevocably committed to issue to Purchaser an ALTA extended coverage owner’s title insurance policy (on the current ALTA Form), in the form approved by Purchaser pursuant to </w:t>
      </w:r>
      <w:r>
        <w:rPr>
          <w:rFonts w:ascii="Arial" w:cs="Arial" w:eastAsia="Arial" w:hAnsi="Arial"/>
          <w:sz w:val="18"/>
          <w:szCs w:val="18"/>
          <w:u w:val="single" w:color="auto"/>
          <w:color w:val="auto"/>
        </w:rPr>
        <w:t>Section 3.2.1</w:t>
      </w:r>
      <w:r>
        <w:rPr>
          <w:rFonts w:ascii="Arial" w:cs="Arial" w:eastAsia="Arial" w:hAnsi="Arial"/>
          <w:sz w:val="18"/>
          <w:szCs w:val="18"/>
          <w:color w:val="auto"/>
        </w:rPr>
        <w:t>, in the amount of the Purchase Price, together with the endorsements for Purchaser’s owner’s title insurance policy, insuring good and indefeasible fee simple title to the Property in Purchaser, subject only to the Permitted Exceptions.</w:t>
      </w:r>
    </w:p>
    <w:p>
      <w:pPr>
        <w:spacing w:after="0" w:line="200" w:lineRule="exact"/>
        <w:rPr>
          <w:sz w:val="20"/>
          <w:szCs w:val="20"/>
          <w:color w:val="auto"/>
        </w:rPr>
      </w:pPr>
    </w:p>
    <w:p>
      <w:pPr>
        <w:spacing w:after="0" w:line="297" w:lineRule="exact"/>
        <w:rPr>
          <w:sz w:val="20"/>
          <w:szCs w:val="20"/>
          <w:color w:val="auto"/>
        </w:rPr>
      </w:pPr>
    </w:p>
    <w:p>
      <w:pPr>
        <w:jc w:val="both"/>
        <w:ind w:left="320"/>
        <w:spacing w:after="0" w:line="274"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Conditions Precedent to Seller’s Obligations</w:t>
      </w:r>
      <w:r>
        <w:rPr>
          <w:rFonts w:ascii="Arial" w:cs="Arial" w:eastAsia="Arial" w:hAnsi="Arial"/>
          <w:sz w:val="19"/>
          <w:szCs w:val="19"/>
          <w:color w:val="auto"/>
        </w:rPr>
        <w:t>. The obligations of Seller to consummate the transactions contemplated by this Agreement are subject to the satisfaction or waiver by Seller (if permitted by Applicable Law) at or prior to the Closing of each of the following conditions:</w:t>
      </w:r>
    </w:p>
    <w:p>
      <w:pPr>
        <w:spacing w:after="0" w:line="104" w:lineRule="exact"/>
        <w:rPr>
          <w:sz w:val="20"/>
          <w:szCs w:val="20"/>
          <w:color w:val="auto"/>
        </w:rPr>
      </w:pPr>
    </w:p>
    <w:p>
      <w:pPr>
        <w:jc w:val="both"/>
        <w:ind w:left="940"/>
        <w:spacing w:after="0" w:line="288" w:lineRule="auto"/>
        <w:rPr>
          <w:sz w:val="20"/>
          <w:szCs w:val="20"/>
          <w:color w:val="auto"/>
        </w:rPr>
      </w:pPr>
      <w:r>
        <w:rPr>
          <w:rFonts w:ascii="Arial" w:cs="Arial" w:eastAsia="Arial" w:hAnsi="Arial"/>
          <w:sz w:val="19"/>
          <w:szCs w:val="19"/>
          <w:color w:val="auto"/>
        </w:rPr>
        <w:t>10.2.1 The representations and warranties of Purchaser set forth in this Agreement must be true and correct in all material respects as of the Closing Date as though made on and as of the Closing Date;</w:t>
      </w:r>
    </w:p>
    <w:p>
      <w:pPr>
        <w:spacing w:after="0" w:line="92" w:lineRule="exact"/>
        <w:rPr>
          <w:sz w:val="20"/>
          <w:szCs w:val="20"/>
          <w:color w:val="auto"/>
        </w:rPr>
      </w:pPr>
    </w:p>
    <w:p>
      <w:pPr>
        <w:jc w:val="both"/>
        <w:ind w:left="940"/>
        <w:spacing w:after="0" w:line="288" w:lineRule="auto"/>
        <w:rPr>
          <w:sz w:val="20"/>
          <w:szCs w:val="20"/>
          <w:color w:val="auto"/>
        </w:rPr>
      </w:pPr>
      <w:r>
        <w:rPr>
          <w:rFonts w:ascii="Arial" w:cs="Arial" w:eastAsia="Arial" w:hAnsi="Arial"/>
          <w:sz w:val="19"/>
          <w:szCs w:val="19"/>
          <w:color w:val="auto"/>
        </w:rPr>
        <w:t>10.2.2 Purchaser must have performed and complied in all material respects with all covenants and obligations required to be performed or complied with by it under this Agreement at or prior to the Closing; and</w:t>
      </w:r>
    </w:p>
    <w:p>
      <w:pPr>
        <w:spacing w:after="0" w:line="92"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9"/>
          <w:szCs w:val="19"/>
          <w:color w:val="auto"/>
        </w:rPr>
        <w:t>10.2.3</w:t>
      </w:r>
      <w:r>
        <w:rPr>
          <w:sz w:val="20"/>
          <w:szCs w:val="20"/>
          <w:color w:val="auto"/>
        </w:rPr>
        <w:tab/>
      </w:r>
      <w:r>
        <w:rPr>
          <w:rFonts w:ascii="Arial" w:cs="Arial" w:eastAsia="Arial" w:hAnsi="Arial"/>
          <w:sz w:val="17"/>
          <w:szCs w:val="17"/>
          <w:color w:val="auto"/>
        </w:rPr>
        <w:t xml:space="preserve">Purchaser must have delivered or caused to be delivered to Seller the items required by </w:t>
      </w:r>
      <w:r>
        <w:rPr>
          <w:rFonts w:ascii="Arial" w:cs="Arial" w:eastAsia="Arial" w:hAnsi="Arial"/>
          <w:sz w:val="17"/>
          <w:szCs w:val="17"/>
          <w:u w:val="single" w:color="auto"/>
          <w:color w:val="auto"/>
        </w:rPr>
        <w:t>Section 11.2</w:t>
      </w:r>
      <w:r>
        <w:rPr>
          <w:rFonts w:ascii="Arial" w:cs="Arial" w:eastAsia="Arial" w:hAnsi="Arial"/>
          <w:sz w:val="17"/>
          <w:szCs w:val="17"/>
          <w:color w:val="auto"/>
        </w:rPr>
        <w:t>.</w:t>
      </w:r>
    </w:p>
    <w:p>
      <w:pPr>
        <w:spacing w:after="0" w:line="175" w:lineRule="exact"/>
        <w:rPr>
          <w:sz w:val="20"/>
          <w:szCs w:val="20"/>
          <w:color w:val="auto"/>
        </w:rPr>
      </w:pPr>
    </w:p>
    <w:p>
      <w:pPr>
        <w:ind w:left="320"/>
        <w:spacing w:after="0"/>
        <w:tabs>
          <w:tab w:leader="none" w:pos="82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7"/>
          <w:szCs w:val="17"/>
          <w:u w:val="single" w:color="auto"/>
          <w:color w:val="auto"/>
        </w:rPr>
        <w:t>Satisfaction of Conditions</w:t>
      </w:r>
      <w:r>
        <w:rPr>
          <w:rFonts w:ascii="Arial" w:cs="Arial" w:eastAsia="Arial" w:hAnsi="Arial"/>
          <w:sz w:val="17"/>
          <w:szCs w:val="17"/>
          <w:color w:val="auto"/>
        </w:rPr>
        <w:t>.</w:t>
      </w:r>
    </w:p>
    <w:p>
      <w:pPr>
        <w:spacing w:after="0" w:line="175" w:lineRule="exact"/>
        <w:rPr>
          <w:sz w:val="20"/>
          <w:szCs w:val="20"/>
          <w:color w:val="auto"/>
        </w:rPr>
      </w:pPr>
    </w:p>
    <w:p>
      <w:pPr>
        <w:jc w:val="both"/>
        <w:ind w:left="940"/>
        <w:spacing w:after="0" w:line="259" w:lineRule="auto"/>
        <w:rPr>
          <w:sz w:val="20"/>
          <w:szCs w:val="20"/>
          <w:color w:val="auto"/>
        </w:rPr>
      </w:pPr>
      <w:r>
        <w:rPr>
          <w:rFonts w:ascii="Arial" w:cs="Arial" w:eastAsia="Arial" w:hAnsi="Arial"/>
          <w:sz w:val="19"/>
          <w:szCs w:val="19"/>
          <w:color w:val="auto"/>
        </w:rPr>
        <w:t xml:space="preserve">10.3.1 </w:t>
      </w:r>
      <w:r>
        <w:rPr>
          <w:rFonts w:ascii="Arial" w:cs="Arial" w:eastAsia="Arial" w:hAnsi="Arial"/>
          <w:sz w:val="19"/>
          <w:szCs w:val="19"/>
          <w:u w:val="single" w:color="auto"/>
          <w:color w:val="auto"/>
        </w:rPr>
        <w:t>Non-Performance by Purchaser</w:t>
      </w:r>
      <w:r>
        <w:rPr>
          <w:rFonts w:ascii="Arial" w:cs="Arial" w:eastAsia="Arial" w:hAnsi="Arial"/>
          <w:sz w:val="19"/>
          <w:szCs w:val="19"/>
          <w:color w:val="auto"/>
        </w:rPr>
        <w:t xml:space="preserve">. If the conditions precedent to Purchaser’s obligations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have been satisfied and Purchaser fails to consummate the transactions contemplated by this Agreement, such failure shall constitute a default (unless Purchaser has otherwise terminated this Agreement for another reason in accordance with the terms of this Agreement) and Seller shall be entitled to exercise the remedies set forth in </w:t>
      </w:r>
      <w:r>
        <w:rPr>
          <w:rFonts w:ascii="Arial" w:cs="Arial" w:eastAsia="Arial" w:hAnsi="Arial"/>
          <w:sz w:val="19"/>
          <w:szCs w:val="19"/>
          <w:u w:val="single" w:color="auto"/>
          <w:color w:val="auto"/>
        </w:rPr>
        <w:t>Section 13.1</w:t>
      </w:r>
      <w:r>
        <w:rPr>
          <w:rFonts w:ascii="Arial" w:cs="Arial" w:eastAsia="Arial" w:hAnsi="Arial"/>
          <w:sz w:val="19"/>
          <w:szCs w:val="19"/>
          <w:color w:val="auto"/>
        </w:rPr>
        <w:t>. If the sale of the Property is not consummated because of the failure of any condition precedent to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920"/>
          </w:cols>
          <w:pgMar w:left="640" w:top="1440" w:right="339" w:bottom="1440" w:gutter="0" w:footer="0" w:header="0"/>
        </w:sectPr>
      </w:pPr>
    </w:p>
    <w:bookmarkStart w:id="103" w:name="page104"/>
    <w:bookmarkEnd w:id="103"/>
    <w:p>
      <w:pPr>
        <w:spacing w:after="0" w:line="99" w:lineRule="exact"/>
        <w:rPr>
          <w:sz w:val="20"/>
          <w:szCs w:val="20"/>
          <w:color w:val="auto"/>
        </w:rPr>
      </w:pPr>
    </w:p>
    <w:p>
      <w:pPr>
        <w:jc w:val="both"/>
        <w:ind w:left="940"/>
        <w:spacing w:after="0" w:line="264" w:lineRule="auto"/>
        <w:rPr>
          <w:sz w:val="20"/>
          <w:szCs w:val="20"/>
          <w:color w:val="auto"/>
        </w:rPr>
      </w:pPr>
      <w:r>
        <w:rPr>
          <w:rFonts w:ascii="Arial" w:cs="Arial" w:eastAsia="Arial" w:hAnsi="Arial"/>
          <w:sz w:val="19"/>
          <w:szCs w:val="19"/>
          <w:color w:val="auto"/>
        </w:rPr>
        <w:t xml:space="preserve">obligations expressly set forth in this Agreement or for any other reason except a default by Purchaser in its obligation to purchase the Property in accordance with the provisions of this Agreement (which shall be governed by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or any default by Seller of its obligations under this Agreement (which shall be governed by </w:t>
      </w:r>
      <w:r>
        <w:rPr>
          <w:rFonts w:ascii="Arial" w:cs="Arial" w:eastAsia="Arial" w:hAnsi="Arial"/>
          <w:sz w:val="19"/>
          <w:szCs w:val="19"/>
          <w:u w:val="single" w:color="auto"/>
          <w:color w:val="auto"/>
        </w:rPr>
        <w:t>Section 13.2</w:t>
      </w:r>
      <w:r>
        <w:rPr>
          <w:rFonts w:ascii="Arial" w:cs="Arial" w:eastAsia="Arial" w:hAnsi="Arial"/>
          <w:sz w:val="19"/>
          <w:szCs w:val="19"/>
          <w:color w:val="auto"/>
        </w:rPr>
        <w:t>), the Deposit shall promptly be returned to Purchaser and neither party shall have any further obligations hereunder.</w:t>
      </w:r>
    </w:p>
    <w:p>
      <w:pPr>
        <w:spacing w:after="0" w:line="114" w:lineRule="exact"/>
        <w:rPr>
          <w:sz w:val="20"/>
          <w:szCs w:val="20"/>
          <w:color w:val="auto"/>
        </w:rPr>
      </w:pPr>
    </w:p>
    <w:p>
      <w:pPr>
        <w:jc w:val="both"/>
        <w:ind w:left="940"/>
        <w:spacing w:after="0" w:line="274" w:lineRule="auto"/>
        <w:rPr>
          <w:sz w:val="20"/>
          <w:szCs w:val="20"/>
          <w:color w:val="auto"/>
        </w:rPr>
      </w:pPr>
      <w:r>
        <w:rPr>
          <w:rFonts w:ascii="Arial" w:cs="Arial" w:eastAsia="Arial" w:hAnsi="Arial"/>
          <w:sz w:val="19"/>
          <w:szCs w:val="19"/>
          <w:color w:val="auto"/>
        </w:rPr>
        <w:t xml:space="preserve">10.3.2 </w:t>
      </w:r>
      <w:r>
        <w:rPr>
          <w:rFonts w:ascii="Arial" w:cs="Arial" w:eastAsia="Arial" w:hAnsi="Arial"/>
          <w:sz w:val="19"/>
          <w:szCs w:val="19"/>
          <w:u w:val="single" w:color="auto"/>
          <w:color w:val="auto"/>
        </w:rPr>
        <w:t>Non-Performance by Seller</w:t>
      </w:r>
      <w:r>
        <w:rPr>
          <w:rFonts w:ascii="Arial" w:cs="Arial" w:eastAsia="Arial" w:hAnsi="Arial"/>
          <w:sz w:val="19"/>
          <w:szCs w:val="19"/>
          <w:color w:val="auto"/>
        </w:rPr>
        <w:t xml:space="preserve">. If the conditions precedent to Seller’s obligations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have been satisfied and Seller fails to consummate the transactions contemplated by this Agreement, such failure shall constitute a default and Purchaser shall be entitled to exercise the remedies set forth in </w:t>
      </w:r>
      <w:r>
        <w:rPr>
          <w:rFonts w:ascii="Arial" w:cs="Arial" w:eastAsia="Arial" w:hAnsi="Arial"/>
          <w:sz w:val="19"/>
          <w:szCs w:val="19"/>
          <w:u w:val="single" w:color="auto"/>
          <w:color w:val="auto"/>
        </w:rPr>
        <w:t>Section 13.2</w:t>
      </w:r>
      <w:r>
        <w:rPr>
          <w:rFonts w:ascii="Arial" w:cs="Arial" w:eastAsia="Arial" w:hAnsi="Arial"/>
          <w:sz w:val="19"/>
          <w:szCs w:val="19"/>
          <w:color w:val="auto"/>
        </w:rPr>
        <w:t>.</w:t>
      </w:r>
    </w:p>
    <w:p>
      <w:pPr>
        <w:spacing w:after="0" w:line="104" w:lineRule="exact"/>
        <w:rPr>
          <w:sz w:val="20"/>
          <w:szCs w:val="20"/>
          <w:color w:val="auto"/>
        </w:rPr>
      </w:pPr>
    </w:p>
    <w:p>
      <w:pPr>
        <w:ind w:left="300" w:hanging="300"/>
        <w:spacing w:after="0"/>
        <w:tabs>
          <w:tab w:leader="none" w:pos="30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Closing:</w:t>
      </w:r>
    </w:p>
    <w:p>
      <w:pPr>
        <w:spacing w:after="0" w:line="175" w:lineRule="exact"/>
        <w:rPr>
          <w:sz w:val="20"/>
          <w:szCs w:val="20"/>
          <w:color w:val="auto"/>
        </w:rPr>
      </w:pPr>
    </w:p>
    <w:p>
      <w:pPr>
        <w:ind w:left="320"/>
        <w:spacing w:after="0" w:line="274"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Seller’s Deliveries</w:t>
      </w:r>
      <w:r>
        <w:rPr>
          <w:rFonts w:ascii="Arial" w:cs="Arial" w:eastAsia="Arial" w:hAnsi="Arial"/>
          <w:sz w:val="19"/>
          <w:szCs w:val="19"/>
          <w:color w:val="auto"/>
        </w:rPr>
        <w:t>. Seller shall deliver, or cause to be delivered, at the Closing the following original documents, each executed and, if required, acknowledged:</w:t>
      </w:r>
    </w:p>
    <w:p>
      <w:pPr>
        <w:spacing w:after="0" w:line="117" w:lineRule="exact"/>
        <w:rPr>
          <w:sz w:val="20"/>
          <w:szCs w:val="20"/>
          <w:color w:val="auto"/>
        </w:rPr>
      </w:pPr>
    </w:p>
    <w:p>
      <w:pPr>
        <w:ind w:left="940"/>
        <w:spacing w:after="0"/>
        <w:tabs>
          <w:tab w:leader="none" w:pos="158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7"/>
          <w:szCs w:val="17"/>
          <w:color w:val="auto"/>
        </w:rPr>
        <w:t xml:space="preserve">A grant deed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subject to the Permitted Exceptions (the “</w:t>
      </w:r>
      <w:r>
        <w:rPr>
          <w:rFonts w:ascii="Arial" w:cs="Arial" w:eastAsia="Arial" w:hAnsi="Arial"/>
          <w:sz w:val="17"/>
          <w:szCs w:val="17"/>
          <w:u w:val="single" w:color="auto"/>
          <w:color w:val="auto"/>
        </w:rPr>
        <w:t>Deed</w:t>
      </w:r>
      <w:r>
        <w:rPr>
          <w:rFonts w:ascii="Arial" w:cs="Arial" w:eastAsia="Arial" w:hAnsi="Arial"/>
          <w:sz w:val="17"/>
          <w:szCs w:val="17"/>
          <w:color w:val="auto"/>
        </w:rPr>
        <w:t>”).</w:t>
      </w:r>
    </w:p>
    <w:p>
      <w:pPr>
        <w:spacing w:after="0" w:line="175" w:lineRule="exact"/>
        <w:rPr>
          <w:sz w:val="20"/>
          <w:szCs w:val="20"/>
          <w:color w:val="auto"/>
        </w:rPr>
      </w:pPr>
    </w:p>
    <w:p>
      <w:pPr>
        <w:jc w:val="both"/>
        <w:ind w:left="940"/>
        <w:spacing w:after="0" w:line="302" w:lineRule="auto"/>
        <w:rPr>
          <w:sz w:val="20"/>
          <w:szCs w:val="20"/>
          <w:color w:val="auto"/>
        </w:rPr>
      </w:pPr>
      <w:r>
        <w:rPr>
          <w:rFonts w:ascii="Arial" w:cs="Arial" w:eastAsia="Arial" w:hAnsi="Arial"/>
          <w:sz w:val="18"/>
          <w:szCs w:val="18"/>
          <w:color w:val="auto"/>
        </w:rPr>
        <w:t>11.1.2 A certificate from Seller pursuant to the Foreign Investment and Real Property Tax Act stating that Seller is not a “Foreign Person” within the meaning of Section 1445(f)(3)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95" w:lineRule="exact"/>
        <w:rPr>
          <w:sz w:val="20"/>
          <w:szCs w:val="20"/>
          <w:color w:val="auto"/>
        </w:rPr>
      </w:pPr>
    </w:p>
    <w:p>
      <w:pPr>
        <w:ind w:left="940"/>
        <w:spacing w:after="0"/>
        <w:tabs>
          <w:tab w:leader="none" w:pos="1580" w:val="left"/>
        </w:tabs>
        <w:rPr>
          <w:sz w:val="20"/>
          <w:szCs w:val="20"/>
          <w:color w:val="auto"/>
        </w:rPr>
      </w:pPr>
      <w:r>
        <w:rPr>
          <w:rFonts w:ascii="Arial" w:cs="Arial" w:eastAsia="Arial" w:hAnsi="Arial"/>
          <w:sz w:val="19"/>
          <w:szCs w:val="19"/>
          <w:color w:val="auto"/>
        </w:rPr>
        <w:t>11.1.3</w:t>
      </w:r>
      <w:r>
        <w:rPr>
          <w:sz w:val="20"/>
          <w:szCs w:val="20"/>
          <w:color w:val="auto"/>
        </w:rPr>
        <w:tab/>
      </w:r>
      <w:r>
        <w:rPr>
          <w:rFonts w:ascii="Arial" w:cs="Arial" w:eastAsia="Arial" w:hAnsi="Arial"/>
          <w:sz w:val="17"/>
          <w:szCs w:val="17"/>
          <w:color w:val="auto"/>
        </w:rPr>
        <w:t>a California Form 593.</w:t>
      </w:r>
    </w:p>
    <w:p>
      <w:pPr>
        <w:spacing w:after="0" w:line="162" w:lineRule="exact"/>
        <w:rPr>
          <w:sz w:val="20"/>
          <w:szCs w:val="20"/>
          <w:color w:val="auto"/>
        </w:rPr>
      </w:pPr>
    </w:p>
    <w:p>
      <w:pPr>
        <w:jc w:val="both"/>
        <w:ind w:left="940"/>
        <w:spacing w:after="0" w:line="288" w:lineRule="auto"/>
        <w:rPr>
          <w:sz w:val="20"/>
          <w:szCs w:val="20"/>
          <w:color w:val="auto"/>
        </w:rPr>
      </w:pPr>
      <w:r>
        <w:rPr>
          <w:rFonts w:ascii="Arial" w:cs="Arial" w:eastAsia="Arial" w:hAnsi="Arial"/>
          <w:sz w:val="19"/>
          <w:szCs w:val="19"/>
          <w:color w:val="auto"/>
        </w:rPr>
        <w:t>11.1.4 A counterpart of a closing statement reflecting all credits, prorations, apportionments, and adjustments contemplated hereunder (the “</w:t>
      </w:r>
      <w:r>
        <w:rPr>
          <w:rFonts w:ascii="Arial" w:cs="Arial" w:eastAsia="Arial" w:hAnsi="Arial"/>
          <w:sz w:val="19"/>
          <w:szCs w:val="19"/>
          <w:u w:val="single" w:color="auto"/>
          <w:color w:val="auto"/>
        </w:rPr>
        <w:t>Closing Statement</w:t>
      </w:r>
      <w:r>
        <w:rPr>
          <w:rFonts w:ascii="Arial" w:cs="Arial" w:eastAsia="Arial" w:hAnsi="Arial"/>
          <w:sz w:val="19"/>
          <w:szCs w:val="19"/>
          <w:color w:val="auto"/>
        </w:rPr>
        <w:t>”).</w:t>
      </w:r>
    </w:p>
    <w:p>
      <w:pPr>
        <w:spacing w:after="0" w:line="105" w:lineRule="exact"/>
        <w:rPr>
          <w:sz w:val="20"/>
          <w:szCs w:val="20"/>
          <w:color w:val="auto"/>
        </w:rPr>
      </w:pPr>
    </w:p>
    <w:p>
      <w:pPr>
        <w:ind w:left="940"/>
        <w:spacing w:after="0"/>
        <w:tabs>
          <w:tab w:leader="none" w:pos="1580" w:val="left"/>
        </w:tabs>
        <w:rPr>
          <w:sz w:val="20"/>
          <w:szCs w:val="20"/>
          <w:color w:val="auto"/>
        </w:rPr>
      </w:pPr>
      <w:r>
        <w:rPr>
          <w:rFonts w:ascii="Arial" w:cs="Arial" w:eastAsia="Arial" w:hAnsi="Arial"/>
          <w:sz w:val="19"/>
          <w:szCs w:val="19"/>
          <w:color w:val="auto"/>
        </w:rPr>
        <w:t>11.1.5</w:t>
      </w:r>
      <w:r>
        <w:rPr>
          <w:sz w:val="20"/>
          <w:szCs w:val="20"/>
          <w:color w:val="auto"/>
        </w:rPr>
        <w:tab/>
      </w:r>
      <w:r>
        <w:rPr>
          <w:rFonts w:ascii="Arial" w:cs="Arial" w:eastAsia="Arial" w:hAnsi="Arial"/>
          <w:sz w:val="17"/>
          <w:szCs w:val="17"/>
          <w:color w:val="auto"/>
        </w:rPr>
        <w:t>A counterpart of the Lease.</w:t>
      </w:r>
    </w:p>
    <w:p>
      <w:pPr>
        <w:spacing w:after="0" w:line="162" w:lineRule="exact"/>
        <w:rPr>
          <w:sz w:val="20"/>
          <w:szCs w:val="20"/>
          <w:color w:val="auto"/>
        </w:rPr>
      </w:pPr>
    </w:p>
    <w:p>
      <w:pPr>
        <w:jc w:val="both"/>
        <w:ind w:left="940"/>
        <w:spacing w:after="0" w:line="288" w:lineRule="auto"/>
        <w:rPr>
          <w:sz w:val="20"/>
          <w:szCs w:val="20"/>
          <w:color w:val="auto"/>
        </w:rPr>
      </w:pPr>
      <w:r>
        <w:rPr>
          <w:rFonts w:ascii="Arial" w:cs="Arial" w:eastAsia="Arial" w:hAnsi="Arial"/>
          <w:sz w:val="19"/>
          <w:szCs w:val="19"/>
          <w:color w:val="auto"/>
        </w:rPr>
        <w:t>11.1.6 A counterpart of the Bill of Sale, Blanket Conveyance and Assignment (“</w:t>
      </w:r>
      <w:r>
        <w:rPr>
          <w:rFonts w:ascii="Arial" w:cs="Arial" w:eastAsia="Arial" w:hAnsi="Arial"/>
          <w:sz w:val="19"/>
          <w:szCs w:val="19"/>
          <w:u w:val="single" w:color="auto"/>
          <w:color w:val="auto"/>
        </w:rPr>
        <w:t>Bill of Sale</w:t>
      </w:r>
      <w:r>
        <w:rPr>
          <w:rFonts w:ascii="Arial" w:cs="Arial" w:eastAsia="Arial" w:hAnsi="Arial"/>
          <w:sz w:val="19"/>
          <w:szCs w:val="19"/>
          <w:color w:val="auto"/>
        </w:rPr>
        <w:t xml:space="preserve">”)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92" w:lineRule="exact"/>
        <w:rPr>
          <w:sz w:val="20"/>
          <w:szCs w:val="20"/>
          <w:color w:val="auto"/>
        </w:rPr>
      </w:pPr>
    </w:p>
    <w:p>
      <w:pPr>
        <w:jc w:val="both"/>
        <w:ind w:left="940"/>
        <w:spacing w:after="0" w:line="288" w:lineRule="auto"/>
        <w:rPr>
          <w:sz w:val="20"/>
          <w:szCs w:val="20"/>
          <w:color w:val="auto"/>
        </w:rPr>
      </w:pPr>
      <w:r>
        <w:rPr>
          <w:rFonts w:ascii="Arial" w:cs="Arial" w:eastAsia="Arial" w:hAnsi="Arial"/>
          <w:sz w:val="17"/>
          <w:szCs w:val="17"/>
          <w:color w:val="auto"/>
        </w:rPr>
        <w:t xml:space="preserve">11.1.7 Such other agreements, certificates, and instruments as may be reasonably required by the Title Company to effectuate the intent and purpose of this Agreement, including any affidavits or other documents required by the Title Company (including, without limitation a title affidavit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Title Affidavit</w:t>
      </w:r>
      <w:r>
        <w:rPr>
          <w:rFonts w:ascii="Arial" w:cs="Arial" w:eastAsia="Arial" w:hAnsi="Arial"/>
          <w:sz w:val="17"/>
          <w:szCs w:val="17"/>
          <w:color w:val="auto"/>
        </w:rPr>
        <w:t>”), executed by Seller relating to:</w:t>
      </w:r>
    </w:p>
    <w:p>
      <w:pPr>
        <w:spacing w:after="0" w:line="1" w:lineRule="exact"/>
        <w:rPr>
          <w:sz w:val="20"/>
          <w:szCs w:val="20"/>
          <w:color w:val="auto"/>
        </w:rPr>
      </w:pPr>
    </w:p>
    <w:p>
      <w:pPr>
        <w:jc w:val="both"/>
        <w:ind w:left="940" w:firstLine="4"/>
        <w:spacing w:after="0" w:line="261" w:lineRule="auto"/>
        <w:tabs>
          <w:tab w:leader="none" w:pos="1191" w:val="left"/>
        </w:tabs>
        <w:numPr>
          <w:ilvl w:val="0"/>
          <w:numId w:val="57"/>
        </w:numPr>
        <w:rPr>
          <w:rFonts w:ascii="Arial" w:cs="Arial" w:eastAsia="Arial" w:hAnsi="Arial"/>
          <w:sz w:val="19"/>
          <w:szCs w:val="19"/>
          <w:color w:val="auto"/>
        </w:rPr>
      </w:pPr>
      <w:r>
        <w:rPr>
          <w:rFonts w:ascii="Arial" w:cs="Arial" w:eastAsia="Arial" w:hAnsi="Arial"/>
          <w:sz w:val="19"/>
          <w:szCs w:val="19"/>
          <w:color w:val="auto"/>
        </w:rPr>
        <w:t>mechanics’ or materialmen’s liens; (ii) parties in possession; (iii) the status and capacity of Seller and the authority of the person or persons who are executing the various documents on behalf of Seller in connection with the sale of the Property, and all other entities in such executing entity’s chain of authority; and (iv) gap indemnity coverage.</w:t>
      </w:r>
    </w:p>
    <w:p>
      <w:pPr>
        <w:spacing w:after="0" w:line="130" w:lineRule="exact"/>
        <w:rPr>
          <w:sz w:val="20"/>
          <w:szCs w:val="20"/>
          <w:color w:val="auto"/>
        </w:rPr>
      </w:pPr>
    </w:p>
    <w:p>
      <w:pPr>
        <w:ind w:left="320"/>
        <w:spacing w:after="0" w:line="274"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Purchaser’s Deliveries</w:t>
      </w:r>
      <w:r>
        <w:rPr>
          <w:rFonts w:ascii="Arial" w:cs="Arial" w:eastAsia="Arial" w:hAnsi="Arial"/>
          <w:sz w:val="19"/>
          <w:szCs w:val="19"/>
          <w:color w:val="auto"/>
        </w:rPr>
        <w:t>. At the Closing, Purchaser shall deliver, or cause to be delivered, the following original documents, as applicable, each executed and, if required, acknowledged:</w:t>
      </w:r>
    </w:p>
    <w:p>
      <w:pPr>
        <w:spacing w:after="0" w:line="117" w:lineRule="exact"/>
        <w:rPr>
          <w:sz w:val="20"/>
          <w:szCs w:val="20"/>
          <w:color w:val="auto"/>
        </w:rPr>
      </w:pPr>
    </w:p>
    <w:p>
      <w:pPr>
        <w:ind w:left="940"/>
        <w:spacing w:after="0"/>
        <w:tabs>
          <w:tab w:leader="none" w:pos="1580" w:val="left"/>
        </w:tabs>
        <w:rPr>
          <w:sz w:val="20"/>
          <w:szCs w:val="20"/>
          <w:color w:val="auto"/>
        </w:rPr>
      </w:pPr>
      <w:r>
        <w:rPr>
          <w:rFonts w:ascii="Arial" w:cs="Arial" w:eastAsia="Arial" w:hAnsi="Arial"/>
          <w:sz w:val="19"/>
          <w:szCs w:val="19"/>
          <w:color w:val="auto"/>
        </w:rPr>
        <w:t>11.2.1</w:t>
      </w:r>
      <w:r>
        <w:rPr>
          <w:sz w:val="20"/>
          <w:szCs w:val="20"/>
          <w:color w:val="auto"/>
        </w:rPr>
        <w:tab/>
      </w:r>
      <w:r>
        <w:rPr>
          <w:rFonts w:ascii="Arial" w:cs="Arial" w:eastAsia="Arial" w:hAnsi="Arial"/>
          <w:sz w:val="16"/>
          <w:szCs w:val="16"/>
          <w:color w:val="auto"/>
        </w:rPr>
        <w:t>The Purchase Price.</w:t>
      </w:r>
    </w:p>
    <w:p>
      <w:pPr>
        <w:spacing w:after="0" w:line="175" w:lineRule="exact"/>
        <w:rPr>
          <w:sz w:val="20"/>
          <w:szCs w:val="20"/>
          <w:color w:val="auto"/>
        </w:rPr>
      </w:pPr>
    </w:p>
    <w:p>
      <w:pPr>
        <w:ind w:left="940"/>
        <w:spacing w:after="0"/>
        <w:tabs>
          <w:tab w:leader="none" w:pos="1580" w:val="left"/>
        </w:tabs>
        <w:rPr>
          <w:sz w:val="20"/>
          <w:szCs w:val="20"/>
          <w:color w:val="auto"/>
        </w:rPr>
      </w:pPr>
      <w:r>
        <w:rPr>
          <w:rFonts w:ascii="Arial" w:cs="Arial" w:eastAsia="Arial" w:hAnsi="Arial"/>
          <w:sz w:val="19"/>
          <w:szCs w:val="19"/>
          <w:color w:val="auto"/>
        </w:rPr>
        <w:t>11.2.2</w:t>
      </w:r>
      <w:r>
        <w:rPr>
          <w:sz w:val="20"/>
          <w:szCs w:val="20"/>
          <w:color w:val="auto"/>
        </w:rPr>
        <w:tab/>
      </w:r>
      <w:r>
        <w:rPr>
          <w:rFonts w:ascii="Arial" w:cs="Arial" w:eastAsia="Arial" w:hAnsi="Arial"/>
          <w:sz w:val="17"/>
          <w:szCs w:val="17"/>
          <w:color w:val="auto"/>
        </w:rPr>
        <w:t>A duly executed Preliminary Change of Ownership Report.</w:t>
      </w:r>
    </w:p>
    <w:p>
      <w:pPr>
        <w:spacing w:after="0" w:line="162" w:lineRule="exact"/>
        <w:rPr>
          <w:sz w:val="20"/>
          <w:szCs w:val="20"/>
          <w:color w:val="auto"/>
        </w:rPr>
      </w:pPr>
    </w:p>
    <w:p>
      <w:pPr>
        <w:ind w:left="940"/>
        <w:spacing w:after="0"/>
        <w:tabs>
          <w:tab w:leader="none" w:pos="1580" w:val="left"/>
        </w:tabs>
        <w:rPr>
          <w:sz w:val="20"/>
          <w:szCs w:val="20"/>
          <w:color w:val="auto"/>
        </w:rPr>
      </w:pPr>
      <w:r>
        <w:rPr>
          <w:rFonts w:ascii="Arial" w:cs="Arial" w:eastAsia="Arial" w:hAnsi="Arial"/>
          <w:sz w:val="19"/>
          <w:szCs w:val="19"/>
          <w:color w:val="auto"/>
        </w:rPr>
        <w:t>11.2.3</w:t>
      </w:r>
      <w:r>
        <w:rPr>
          <w:sz w:val="20"/>
          <w:szCs w:val="20"/>
          <w:color w:val="auto"/>
        </w:rPr>
        <w:tab/>
      </w:r>
      <w:r>
        <w:rPr>
          <w:rFonts w:ascii="Arial" w:cs="Arial" w:eastAsia="Arial" w:hAnsi="Arial"/>
          <w:sz w:val="17"/>
          <w:szCs w:val="17"/>
          <w:color w:val="auto"/>
        </w:rPr>
        <w:t>A counterpart of the Closing Statement.</w:t>
      </w:r>
    </w:p>
    <w:p>
      <w:pPr>
        <w:spacing w:after="0" w:line="175" w:lineRule="exact"/>
        <w:rPr>
          <w:sz w:val="20"/>
          <w:szCs w:val="20"/>
          <w:color w:val="auto"/>
        </w:rPr>
      </w:pPr>
    </w:p>
    <w:p>
      <w:pPr>
        <w:ind w:left="940"/>
        <w:spacing w:after="0"/>
        <w:tabs>
          <w:tab w:leader="none" w:pos="1580" w:val="left"/>
        </w:tabs>
        <w:rPr>
          <w:sz w:val="20"/>
          <w:szCs w:val="20"/>
          <w:color w:val="auto"/>
        </w:rPr>
      </w:pPr>
      <w:r>
        <w:rPr>
          <w:rFonts w:ascii="Arial" w:cs="Arial" w:eastAsia="Arial" w:hAnsi="Arial"/>
          <w:sz w:val="19"/>
          <w:szCs w:val="19"/>
          <w:color w:val="auto"/>
        </w:rPr>
        <w:t>11.2.4</w:t>
      </w:r>
      <w:r>
        <w:rPr>
          <w:sz w:val="20"/>
          <w:szCs w:val="20"/>
          <w:color w:val="auto"/>
        </w:rPr>
        <w:tab/>
      </w:r>
      <w:r>
        <w:rPr>
          <w:rFonts w:ascii="Arial" w:cs="Arial" w:eastAsia="Arial" w:hAnsi="Arial"/>
          <w:sz w:val="17"/>
          <w:szCs w:val="17"/>
          <w:color w:val="auto"/>
        </w:rPr>
        <w:t>A counterpart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920"/>
          </w:cols>
          <w:pgMar w:left="640" w:top="1440" w:right="339" w:bottom="1440" w:gutter="0" w:footer="0" w:header="0"/>
        </w:sectPr>
      </w:pPr>
    </w:p>
    <w:bookmarkStart w:id="104" w:name="page105"/>
    <w:bookmarkEnd w:id="104"/>
    <w:p>
      <w:pPr>
        <w:spacing w:after="0" w:line="99" w:lineRule="exact"/>
        <w:rPr>
          <w:sz w:val="20"/>
          <w:szCs w:val="20"/>
          <w:color w:val="auto"/>
        </w:rPr>
      </w:pPr>
    </w:p>
    <w:p>
      <w:pPr>
        <w:ind w:left="940"/>
        <w:spacing w:after="0"/>
        <w:tabs>
          <w:tab w:leader="none" w:pos="1580" w:val="left"/>
        </w:tabs>
        <w:rPr>
          <w:sz w:val="20"/>
          <w:szCs w:val="20"/>
          <w:color w:val="auto"/>
        </w:rPr>
      </w:pPr>
      <w:r>
        <w:rPr>
          <w:rFonts w:ascii="Arial" w:cs="Arial" w:eastAsia="Arial" w:hAnsi="Arial"/>
          <w:sz w:val="19"/>
          <w:szCs w:val="19"/>
          <w:color w:val="auto"/>
        </w:rPr>
        <w:t>11.2.5</w:t>
      </w:r>
      <w:r>
        <w:rPr>
          <w:sz w:val="20"/>
          <w:szCs w:val="20"/>
          <w:color w:val="auto"/>
        </w:rPr>
        <w:tab/>
      </w:r>
      <w:r>
        <w:rPr>
          <w:rFonts w:ascii="Arial" w:cs="Arial" w:eastAsia="Arial" w:hAnsi="Arial"/>
          <w:sz w:val="17"/>
          <w:szCs w:val="17"/>
          <w:color w:val="auto"/>
        </w:rPr>
        <w:t>A counterpart of the Bill of Sale.</w:t>
      </w:r>
    </w:p>
    <w:p>
      <w:pPr>
        <w:spacing w:after="0" w:line="175" w:lineRule="exact"/>
        <w:rPr>
          <w:sz w:val="20"/>
          <w:szCs w:val="20"/>
          <w:color w:val="auto"/>
        </w:rPr>
      </w:pPr>
    </w:p>
    <w:p>
      <w:pPr>
        <w:ind w:left="940"/>
        <w:spacing w:after="0" w:line="274" w:lineRule="auto"/>
        <w:rPr>
          <w:sz w:val="20"/>
          <w:szCs w:val="20"/>
          <w:color w:val="auto"/>
        </w:rPr>
      </w:pPr>
      <w:r>
        <w:rPr>
          <w:rFonts w:ascii="Arial" w:cs="Arial" w:eastAsia="Arial" w:hAnsi="Arial"/>
          <w:sz w:val="19"/>
          <w:szCs w:val="19"/>
          <w:color w:val="auto"/>
        </w:rPr>
        <w:t>11.2.6 Such other agreements, certificates, and instruments as may be reasonably required by the Title Company to effectuate the intent and purpose of this Agreement.</w:t>
      </w:r>
    </w:p>
    <w:p>
      <w:pPr>
        <w:spacing w:after="0" w:line="117"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7"/>
          <w:szCs w:val="17"/>
          <w:color w:val="auto"/>
        </w:rPr>
        <w:t>At Closing, Seller shall deliver to Purchaser possession of the Property subject only to the Lease.</w:t>
      </w:r>
    </w:p>
    <w:p>
      <w:pPr>
        <w:spacing w:after="0" w:line="162" w:lineRule="exact"/>
        <w:rPr>
          <w:sz w:val="20"/>
          <w:szCs w:val="20"/>
          <w:color w:val="auto"/>
        </w:rPr>
      </w:pPr>
    </w:p>
    <w:p>
      <w:pPr>
        <w:ind w:left="300" w:hanging="300"/>
        <w:spacing w:after="0"/>
        <w:tabs>
          <w:tab w:leader="none" w:pos="30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Casualty; Condemnation</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left="320"/>
        <w:spacing w:after="0" w:line="259" w:lineRule="auto"/>
        <w:rPr>
          <w:rFonts w:ascii="Arial" w:cs="Arial" w:eastAsia="Arial" w:hAnsi="Arial"/>
          <w:sz w:val="19"/>
          <w:szCs w:val="19"/>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Casualty</w:t>
      </w:r>
      <w:r>
        <w:rPr>
          <w:rFonts w:ascii="Arial" w:cs="Arial" w:eastAsia="Arial" w:hAnsi="Arial"/>
          <w:sz w:val="19"/>
          <w:szCs w:val="19"/>
          <w:color w:val="auto"/>
        </w:rPr>
        <w:t>. Unless and until the Closing is completed, the risk of loss to the Property from casualty or condemnation shall be borne by Seller. If all or a portion of the Property is damaged or destroyed by fire or other casualty prior to Closing such that: (1) Purchaser’s reasonable estimate of the cost to repair or restore the same exceeds an amount equal to two percent (2%) of the Purchase Price; or (2) access to or egress from the Property (or any Improvement located thereon) is materially impaired (any such fire or other casualty, a “</w:t>
      </w:r>
      <w:r>
        <w:rPr>
          <w:rFonts w:ascii="Arial" w:cs="Arial" w:eastAsia="Arial" w:hAnsi="Arial"/>
          <w:sz w:val="19"/>
          <w:szCs w:val="19"/>
          <w:u w:val="single" w:color="auto"/>
          <w:color w:val="auto"/>
        </w:rPr>
        <w:t>Material Casualty</w:t>
      </w:r>
      <w:r>
        <w:rPr>
          <w:rFonts w:ascii="Arial" w:cs="Arial" w:eastAsia="Arial" w:hAnsi="Arial"/>
          <w:sz w:val="19"/>
          <w:szCs w:val="19"/>
          <w:color w:val="auto"/>
        </w:rPr>
        <w:t>”), Purchaser may, at Purchaser’s sole option, elect to either:</w:t>
      </w:r>
    </w:p>
    <w:p>
      <w:pPr>
        <w:spacing w:after="0" w:line="132" w:lineRule="exact"/>
        <w:rPr>
          <w:sz w:val="20"/>
          <w:szCs w:val="20"/>
          <w:color w:val="auto"/>
        </w:rPr>
      </w:pPr>
    </w:p>
    <w:p>
      <w:pPr>
        <w:jc w:val="both"/>
        <w:ind w:left="940"/>
        <w:spacing w:after="0" w:line="266" w:lineRule="auto"/>
        <w:rPr>
          <w:sz w:val="20"/>
          <w:szCs w:val="20"/>
          <w:color w:val="auto"/>
        </w:rPr>
      </w:pPr>
      <w:r>
        <w:rPr>
          <w:rFonts w:ascii="Arial" w:cs="Arial" w:eastAsia="Arial" w:hAnsi="Arial"/>
          <w:sz w:val="19"/>
          <w:szCs w:val="19"/>
          <w:color w:val="auto"/>
        </w:rPr>
        <w:t>12.1.1 terminate this Agreement, upon which neither Purchaser nor Seller shall have any further obligation under this Agreement, except for the obligations which expressly survive the termination of this Agreement, and the Purchaser shall immediately receive the Deposit from the Title Company; or</w:t>
      </w:r>
    </w:p>
    <w:p>
      <w:pPr>
        <w:spacing w:after="0" w:line="126"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9"/>
          <w:szCs w:val="19"/>
          <w:color w:val="auto"/>
        </w:rPr>
        <w:t>12.1.2</w:t>
      </w:r>
      <w:r>
        <w:rPr>
          <w:sz w:val="20"/>
          <w:szCs w:val="20"/>
          <w:color w:val="auto"/>
        </w:rPr>
        <w:tab/>
      </w:r>
      <w:r>
        <w:rPr>
          <w:rFonts w:ascii="Arial" w:cs="Arial" w:eastAsia="Arial" w:hAnsi="Arial"/>
          <w:sz w:val="17"/>
          <w:szCs w:val="17"/>
          <w:color w:val="auto"/>
        </w:rPr>
        <w:t>purchase the Property subject to and in accordance with the terms of this Agreement.</w:t>
      </w:r>
    </w:p>
    <w:p>
      <w:pPr>
        <w:spacing w:after="0" w:line="162"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 xml:space="preserve">Purchaser shall be deemed to have elected not to terminate this Agreement under </w:t>
      </w:r>
      <w:r>
        <w:rPr>
          <w:rFonts w:ascii="Arial" w:cs="Arial" w:eastAsia="Arial" w:hAnsi="Arial"/>
          <w:sz w:val="18"/>
          <w:szCs w:val="18"/>
          <w:u w:val="single" w:color="auto"/>
          <w:color w:val="auto"/>
        </w:rPr>
        <w:t>Section 12.1.1</w:t>
      </w:r>
      <w:r>
        <w:rPr>
          <w:rFonts w:ascii="Arial" w:cs="Arial" w:eastAsia="Arial" w:hAnsi="Arial"/>
          <w:sz w:val="18"/>
          <w:szCs w:val="18"/>
          <w:color w:val="auto"/>
        </w:rPr>
        <w:t xml:space="preserve"> unless, within fifteen (15) Business Days from reasonably detailed written notice to Purchaser of such casualty, Purchaser provides Seller with written notice that Purchaser elects to terminate this Agreement pursuant to </w:t>
      </w:r>
      <w:r>
        <w:rPr>
          <w:rFonts w:ascii="Arial" w:cs="Arial" w:eastAsia="Arial" w:hAnsi="Arial"/>
          <w:sz w:val="18"/>
          <w:szCs w:val="18"/>
          <w:u w:val="single" w:color="auto"/>
          <w:color w:val="auto"/>
        </w:rPr>
        <w:t>Section 12.1.1</w:t>
      </w:r>
      <w:r>
        <w:rPr>
          <w:rFonts w:ascii="Arial" w:cs="Arial" w:eastAsia="Arial" w:hAnsi="Arial"/>
          <w:sz w:val="18"/>
          <w:szCs w:val="18"/>
          <w:color w:val="auto"/>
        </w:rPr>
        <w:t>. If the Closing Date would otherwise occur sooner, it shall automatically be extended to the date that is twenty (20) Business Days after written notice to Purchaser of the casualty.</w:t>
      </w:r>
    </w:p>
    <w:p>
      <w:pPr>
        <w:spacing w:after="0" w:line="112"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color w:val="auto"/>
        </w:rPr>
        <w:t xml:space="preserve">In the event of a fire or other casualty that is not a Material Casualty, and in connection with any Material Casualty as to which Purchaser elects to proceed pursuant to </w:t>
      </w:r>
      <w:r>
        <w:rPr>
          <w:rFonts w:ascii="Arial" w:cs="Arial" w:eastAsia="Arial" w:hAnsi="Arial"/>
          <w:sz w:val="17"/>
          <w:szCs w:val="17"/>
          <w:u w:val="single" w:color="auto"/>
          <w:color w:val="auto"/>
        </w:rPr>
        <w:t>Section 12.1.2</w:t>
      </w:r>
      <w:r>
        <w:rPr>
          <w:rFonts w:ascii="Arial" w:cs="Arial" w:eastAsia="Arial" w:hAnsi="Arial"/>
          <w:sz w:val="17"/>
          <w:szCs w:val="17"/>
          <w:color w:val="auto"/>
        </w:rPr>
        <w:t xml:space="preserve">, Purchaser shall purchase the Property in accordance with the terms hereof and Purchaser shall receive a credit against the Purchase Price in an amount equal to the amount of (A) insurance proceeds actually paid or payable to Seller on account of such damage (including any rental or business interruption insurance payable with respect to the period following Closing) and (B) any applicable deductible that will reduce the insurance proceeds paid or payable to Seller; provided, however, in the event that Seller fails to maintain insurance as required by </w:t>
      </w:r>
      <w:r>
        <w:rPr>
          <w:rFonts w:ascii="Arial" w:cs="Arial" w:eastAsia="Arial" w:hAnsi="Arial"/>
          <w:sz w:val="17"/>
          <w:szCs w:val="17"/>
          <w:u w:val="single" w:color="auto"/>
          <w:color w:val="auto"/>
        </w:rPr>
        <w:t>Section 15.2</w:t>
      </w:r>
      <w:r>
        <w:rPr>
          <w:rFonts w:ascii="Arial" w:cs="Arial" w:eastAsia="Arial" w:hAnsi="Arial"/>
          <w:sz w:val="17"/>
          <w:szCs w:val="17"/>
          <w:color w:val="auto"/>
        </w:rPr>
        <w:t xml:space="preserve"> and Purchaser does not elect to exercise its right to terminate the Agreement as a result of such default, in lieu of the credit described in provisions (A) and (B) above, Purchaser shall receive a credit against the Purchase Price in an amount equal to the amount of the cost to repair the damage caused by such fire or other casualty as estimated by a third party consultant selected by Purchaser and reasonably approved by Seller. Notwithstanding the foregoing, to the extent that there is a fire or other casualty for which Purchaser is to proceed pursuant to </w:t>
      </w:r>
      <w:r>
        <w:rPr>
          <w:rFonts w:ascii="Arial" w:cs="Arial" w:eastAsia="Arial" w:hAnsi="Arial"/>
          <w:sz w:val="17"/>
          <w:szCs w:val="17"/>
          <w:u w:val="single" w:color="auto"/>
          <w:color w:val="auto"/>
        </w:rPr>
        <w:t>Section 12.1.2</w:t>
      </w:r>
      <w:r>
        <w:rPr>
          <w:rFonts w:ascii="Arial" w:cs="Arial" w:eastAsia="Arial" w:hAnsi="Arial"/>
          <w:sz w:val="17"/>
          <w:szCs w:val="17"/>
          <w:color w:val="auto"/>
        </w:rPr>
        <w:t xml:space="preserve"> and (i) Seller satisfies its obligation to maintain insurance as required herein, and (ii) Seller, with commercially reasonable cooperation from Purchaser, is able to effectuate a binding assignment of the insurance proceeds paid or payable on account of such damage prior to Closing (including any rental or business interruption insurance payable with respect to the period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920"/>
          </w:cols>
          <w:pgMar w:left="640" w:top="1440" w:right="339" w:bottom="1440" w:gutter="0" w:footer="0" w:header="0"/>
        </w:sectPr>
      </w:pPr>
    </w:p>
    <w:bookmarkStart w:id="105" w:name="page106"/>
    <w:bookmarkEnd w:id="105"/>
    <w:p>
      <w:pPr>
        <w:spacing w:after="0" w:line="99" w:lineRule="exact"/>
        <w:rPr>
          <w:sz w:val="20"/>
          <w:szCs w:val="20"/>
          <w:color w:val="auto"/>
        </w:rPr>
      </w:pPr>
    </w:p>
    <w:p>
      <w:pPr>
        <w:jc w:val="both"/>
        <w:ind w:left="320"/>
        <w:spacing w:after="0" w:line="259" w:lineRule="auto"/>
        <w:rPr>
          <w:sz w:val="20"/>
          <w:szCs w:val="20"/>
          <w:color w:val="auto"/>
        </w:rPr>
      </w:pPr>
      <w:r>
        <w:rPr>
          <w:rFonts w:ascii="Arial" w:cs="Arial" w:eastAsia="Arial" w:hAnsi="Arial"/>
          <w:sz w:val="19"/>
          <w:szCs w:val="19"/>
          <w:color w:val="auto"/>
        </w:rPr>
        <w:t>Closing), Purchaser shall purchase the Property in accordance with the terms hereof without reduction in the Purchase Price (except for any applicable deductible that will reduce the insurance proceeds assigned to Purchaser at Closing, which Seller shall credit Purchaser for at Closing). For the avoidance of doubt, in the event that Seller does not effectuate a binding assignment of the insurance proceeds paid or payable on account of such damage prior to Closing, Seller shall retain all rights to receipt of such insurance proceeds from and after Closing.</w:t>
      </w:r>
    </w:p>
    <w:p>
      <w:pPr>
        <w:spacing w:after="0" w:line="132" w:lineRule="exact"/>
        <w:rPr>
          <w:sz w:val="20"/>
          <w:szCs w:val="20"/>
          <w:color w:val="auto"/>
        </w:rPr>
      </w:pPr>
    </w:p>
    <w:p>
      <w:pPr>
        <w:jc w:val="both"/>
        <w:ind w:left="320"/>
        <w:spacing w:after="0" w:line="297"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Condemnation</w:t>
      </w:r>
      <w:r>
        <w:rPr>
          <w:rFonts w:ascii="Arial" w:cs="Arial" w:eastAsia="Arial" w:hAnsi="Arial"/>
          <w:sz w:val="17"/>
          <w:szCs w:val="17"/>
          <w:color w:val="auto"/>
        </w:rPr>
        <w:t>. If, at any time before completion of the Closing, a taking or condemnation (or proceeding in lieu thereof) is commenced or threatened in writing: (i) of all or substantially all of the Property; or (ii) of less than all or substantially all of the Property that: (1) Purchaser’s reasonable estimate of the cost to restore the value of the Property to the value prior to such condemnation exceeds an amount equal to two percent (2%) of the Purchase Price; or (2) access to or egress from the Property (or any Improvement located thereon) is materially impaired (any of the foregoing, a “</w:t>
      </w:r>
      <w:r>
        <w:rPr>
          <w:rFonts w:ascii="Arial" w:cs="Arial" w:eastAsia="Arial" w:hAnsi="Arial"/>
          <w:sz w:val="17"/>
          <w:szCs w:val="17"/>
          <w:u w:val="single" w:color="auto"/>
          <w:color w:val="auto"/>
        </w:rPr>
        <w:t>Material Taking</w:t>
      </w:r>
      <w:r>
        <w:rPr>
          <w:rFonts w:ascii="Arial" w:cs="Arial" w:eastAsia="Arial" w:hAnsi="Arial"/>
          <w:sz w:val="17"/>
          <w:szCs w:val="17"/>
          <w:color w:val="auto"/>
        </w:rPr>
        <w:t>”), Purchaser may, at Purchaser’s sole option, elect either to:</w:t>
      </w:r>
    </w:p>
    <w:p>
      <w:pPr>
        <w:spacing w:after="0" w:line="102" w:lineRule="exact"/>
        <w:rPr>
          <w:sz w:val="20"/>
          <w:szCs w:val="20"/>
          <w:color w:val="auto"/>
        </w:rPr>
      </w:pPr>
    </w:p>
    <w:p>
      <w:pPr>
        <w:jc w:val="both"/>
        <w:ind w:left="940"/>
        <w:spacing w:after="0" w:line="266" w:lineRule="auto"/>
        <w:rPr>
          <w:sz w:val="20"/>
          <w:szCs w:val="20"/>
          <w:color w:val="auto"/>
        </w:rPr>
      </w:pPr>
      <w:r>
        <w:rPr>
          <w:rFonts w:ascii="Arial" w:cs="Arial" w:eastAsia="Arial" w:hAnsi="Arial"/>
          <w:sz w:val="19"/>
          <w:szCs w:val="19"/>
          <w:color w:val="auto"/>
        </w:rPr>
        <w:t>12.2.1 terminate this Agreement, upon which neither Purchaser nor Seller shall have any further obligation under this Agreement, except for the obligations which expressly survive the termination of this Agreement, and the Purchaser shall immediately receive the Deposit from the Title Company; or</w:t>
      </w:r>
    </w:p>
    <w:p>
      <w:pPr>
        <w:spacing w:after="0" w:line="126" w:lineRule="exact"/>
        <w:rPr>
          <w:sz w:val="20"/>
          <w:szCs w:val="20"/>
          <w:color w:val="auto"/>
        </w:rPr>
      </w:pPr>
    </w:p>
    <w:p>
      <w:pPr>
        <w:ind w:left="940"/>
        <w:spacing w:after="0"/>
        <w:tabs>
          <w:tab w:leader="none" w:pos="1600" w:val="left"/>
        </w:tabs>
        <w:rPr>
          <w:sz w:val="20"/>
          <w:szCs w:val="20"/>
          <w:color w:val="auto"/>
        </w:rPr>
      </w:pPr>
      <w:r>
        <w:rPr>
          <w:rFonts w:ascii="Arial" w:cs="Arial" w:eastAsia="Arial" w:hAnsi="Arial"/>
          <w:sz w:val="19"/>
          <w:szCs w:val="19"/>
          <w:color w:val="auto"/>
        </w:rPr>
        <w:t>12.2.2</w:t>
      </w:r>
      <w:r>
        <w:rPr>
          <w:sz w:val="20"/>
          <w:szCs w:val="20"/>
          <w:color w:val="auto"/>
        </w:rPr>
        <w:tab/>
      </w:r>
      <w:r>
        <w:rPr>
          <w:rFonts w:ascii="Arial" w:cs="Arial" w:eastAsia="Arial" w:hAnsi="Arial"/>
          <w:sz w:val="17"/>
          <w:szCs w:val="17"/>
          <w:color w:val="auto"/>
        </w:rPr>
        <w:t>purchase the Property subject to and in accordance with this Agreement.</w:t>
      </w:r>
    </w:p>
    <w:p>
      <w:pPr>
        <w:spacing w:after="0" w:line="162"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 xml:space="preserve">Purchaser shall be deemed to have elected not to terminate this Agreement under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unless, within fifteen (15) Business Days from written notice to Purchaser of the condemnation, Purchaser provides Seller with written notice that Purchaser elects to terminate this Agreement pursuant to </w:t>
      </w:r>
      <w:r>
        <w:rPr>
          <w:rFonts w:ascii="Arial" w:cs="Arial" w:eastAsia="Arial" w:hAnsi="Arial"/>
          <w:sz w:val="18"/>
          <w:szCs w:val="18"/>
          <w:u w:val="single" w:color="auto"/>
          <w:color w:val="auto"/>
        </w:rPr>
        <w:t>Section 12.2.1</w:t>
      </w:r>
      <w:r>
        <w:rPr>
          <w:rFonts w:ascii="Arial" w:cs="Arial" w:eastAsia="Arial" w:hAnsi="Arial"/>
          <w:sz w:val="18"/>
          <w:szCs w:val="18"/>
          <w:color w:val="auto"/>
        </w:rPr>
        <w:t>. If the Closing Date would otherwise occur sooner, it shall automatically be extended to the date that is twenty (20) Business Days after written notice to Purchaser of the Material Taking.</w:t>
      </w:r>
    </w:p>
    <w:p>
      <w:pPr>
        <w:spacing w:after="0" w:line="112" w:lineRule="exact"/>
        <w:rPr>
          <w:sz w:val="20"/>
          <w:szCs w:val="20"/>
          <w:color w:val="auto"/>
        </w:rPr>
      </w:pPr>
    </w:p>
    <w:p>
      <w:pPr>
        <w:ind w:left="320" w:right="160"/>
        <w:spacing w:after="0" w:line="273" w:lineRule="auto"/>
        <w:rPr>
          <w:sz w:val="20"/>
          <w:szCs w:val="20"/>
          <w:color w:val="auto"/>
        </w:rPr>
      </w:pPr>
      <w:r>
        <w:rPr>
          <w:rFonts w:ascii="Arial" w:cs="Arial" w:eastAsia="Arial" w:hAnsi="Arial"/>
          <w:sz w:val="18"/>
          <w:szCs w:val="18"/>
          <w:color w:val="auto"/>
        </w:rPr>
        <w:t xml:space="preserve">In the event of condemnation or taking that does not constitute a Material Taking, or if there is a Material Taking but Purchaser elects to proceed under </w:t>
      </w:r>
      <w:r>
        <w:rPr>
          <w:rFonts w:ascii="Arial" w:cs="Arial" w:eastAsia="Arial" w:hAnsi="Arial"/>
          <w:sz w:val="18"/>
          <w:szCs w:val="18"/>
          <w:u w:val="single" w:color="auto"/>
          <w:color w:val="auto"/>
        </w:rPr>
        <w:t>Section 12.2.2</w:t>
      </w:r>
      <w:r>
        <w:rPr>
          <w:rFonts w:ascii="Arial" w:cs="Arial" w:eastAsia="Arial" w:hAnsi="Arial"/>
          <w:sz w:val="18"/>
          <w:szCs w:val="18"/>
          <w:color w:val="auto"/>
        </w:rPr>
        <w:t>, (1) Purchaser shall purchase the Property in accordance with the terms hereof (without reduction in the Purchase Price), (2) Seller shall assign to Purchaser at Closing all condemnation proceeds and rental interruption insurance paid or payable from and after the Closing as a result of such condemnation and, in the event Seller fails to effectuate such assignment, Seller shall be obligated to provide Purchaser a credit at Closing in the amount of such condemnation and insurance proceeds, (3) Purchaser shall have the right to be present with Seller at any hearings or negotiations with respect thereto, and (4) Seller shall not settle or compromise and such matter without Purchaser’s prior written consent.</w:t>
      </w:r>
    </w:p>
    <w:p>
      <w:pPr>
        <w:spacing w:after="0" w:line="122" w:lineRule="exact"/>
        <w:rPr>
          <w:sz w:val="20"/>
          <w:szCs w:val="20"/>
          <w:color w:val="auto"/>
        </w:rPr>
      </w:pPr>
    </w:p>
    <w:p>
      <w:pPr>
        <w:ind w:left="300" w:hanging="300"/>
        <w:spacing w:after="0"/>
        <w:tabs>
          <w:tab w:leader="none" w:pos="30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Default; Failure of Condition</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left="320"/>
        <w:spacing w:after="0" w:line="274" w:lineRule="auto"/>
        <w:rPr>
          <w:rFonts w:ascii="Arial" w:cs="Arial" w:eastAsia="Arial" w:hAnsi="Arial"/>
          <w:sz w:val="19"/>
          <w:szCs w:val="19"/>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Purchaser Default</w:t>
      </w:r>
      <w:r>
        <w:rPr>
          <w:rFonts w:ascii="Arial" w:cs="Arial" w:eastAsia="Arial" w:hAnsi="Arial"/>
          <w:sz w:val="18"/>
          <w:szCs w:val="18"/>
          <w:color w:val="auto"/>
        </w:rPr>
        <w:t xml:space="preserve">. If the Closing fails to occur due to a default of Purchaser under this Agreement and Seller has satisfied all of Purchaser’s conditions precedent to Closing and is not otherwise in default hereunder, then Seller may terminate the Agreement and receive the Deposit as liquidated damages as Seller’s sole and exclusive remedy. </w:t>
      </w:r>
      <w:r>
        <w:rPr>
          <w:rFonts w:ascii="Arial" w:cs="Arial" w:eastAsia="Arial" w:hAnsi="Arial"/>
          <w:sz w:val="18"/>
          <w:szCs w:val="18"/>
          <w:b w:val="1"/>
          <w:bCs w:val="1"/>
          <w:color w:val="auto"/>
        </w:rPr>
        <w:t>SELLER AND PURCHASER AGREE THAT IT</w:t>
      </w:r>
    </w:p>
    <w:p>
      <w:pPr>
        <w:spacing w:after="0" w:line="2" w:lineRule="exact"/>
        <w:rPr>
          <w:rFonts w:ascii="Arial" w:cs="Arial" w:eastAsia="Arial" w:hAnsi="Arial"/>
          <w:sz w:val="19"/>
          <w:szCs w:val="19"/>
          <w:color w:val="auto"/>
        </w:rPr>
      </w:pPr>
    </w:p>
    <w:p>
      <w:pPr>
        <w:jc w:val="both"/>
        <w:ind w:left="320"/>
        <w:spacing w:after="0" w:line="258" w:lineRule="auto"/>
        <w:rPr>
          <w:rFonts w:ascii="Arial" w:cs="Arial" w:eastAsia="Arial" w:hAnsi="Arial"/>
          <w:sz w:val="19"/>
          <w:szCs w:val="19"/>
          <w:color w:val="auto"/>
        </w:rPr>
      </w:pPr>
      <w:r>
        <w:rPr>
          <w:rFonts w:ascii="Arial" w:cs="Arial" w:eastAsia="Arial" w:hAnsi="Arial"/>
          <w:sz w:val="19"/>
          <w:szCs w:val="19"/>
          <w:b w:val="1"/>
          <w:bCs w:val="1"/>
          <w:color w:val="auto"/>
        </w:rPr>
        <w:t>WOULD BE IMPRACTICAL AND EXTREMELY DIFFICULT TO ESTIMATE THE DAMAGES WHICH SELLER MAY SUFFER UPON A PURCHASER DEFAULT AND THAT THE DEPOSIT AND ANY INTEREST EARNED THEREON, AS THE CASE MAY BE, REPRESENTS A REASONABLE ESTIMATE OF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920"/>
          </w:cols>
          <w:pgMar w:left="640" w:top="1440" w:right="339" w:bottom="1440" w:gutter="0" w:footer="0" w:header="0"/>
        </w:sectPr>
      </w:pPr>
    </w:p>
    <w:bookmarkStart w:id="106" w:name="page107"/>
    <w:bookmarkEnd w:id="106"/>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NET DETRIMENT THAT SELLER WOULD SUFFER UPON A PURCHASER DEFAULT. SUCH LIQUIDATED AND AGREED DAMAGES ARE NOT INTENDED AS A FORFEITURE OR A PENALTY WITHIN THE MEANING OF APPLICABLE LAW, BUT ARE INTENDED TO CONSTITUTE LIQUIDATED DAMAGES TO SELLER PURSUANT TO CALIFORNIA CIVIL CODE SECTIONS 1671 through 1681. BY PLACING ITS INITIALS BELOW, EACH PARTY SPECIFICALLY CONFIRMS THE ACCURACY OF THE STATEMENTS MADE ABOVE AND THE FACT THAT EACH PARTY WAS REPRESENTED BY LEGAL COUNSEL WHO EXPLAINED, AT THE TIME THIS AGREEMENT WAS MADE, THE MEANING, THE EFFECT, AND THE CONSEQUENCES OF THIS LIQUIDATED DAMAGES PROVISION. PURCHASER AND SELLER AGREE THAT SELLER’S RIGHT TO RETAIN THE DEPOSIT SHALL BE SELLER’S SOLE AND EXCLUSIVE REMEDY, AT LAW AND IN EQUITY, FOR PURCHASER’S FAILURE TO PURCHASE THE PROPERTY IN ACCORDANCE WITH THE TERMS OF THIS AGREEMENT. ACCORDINGLY, SELLER HEREBY WAIVES THE PROVISIONS OF CALIFORNIA CIVIL CODE SECTION 3389 AND ANY RIGHT TO AN ACTION FOR SPECIFIC PERFORMANCE OF ANY PROVISIONS OF THIS AGREEMENT. NOTWITHSTANDING ANYTHING HEREIN THE CONTRARY, NOTHING IN THIS SECTION 13.1 SHALL LIMIT PURCHASER’S INDEMNIFICATION OBLIGATIONS SET FORTH IN THIS AGREEMENT.</w:t>
      </w:r>
    </w:p>
    <w:p>
      <w:pPr>
        <w:spacing w:after="0" w:line="121" w:lineRule="exact"/>
        <w:rPr>
          <w:sz w:val="20"/>
          <w:szCs w:val="20"/>
          <w:color w:val="auto"/>
        </w:rPr>
      </w:pPr>
    </w:p>
    <w:p>
      <w:pPr>
        <w:ind w:left="3460"/>
        <w:spacing w:after="0"/>
        <w:rPr>
          <w:sz w:val="20"/>
          <w:szCs w:val="20"/>
          <w:color w:val="auto"/>
        </w:rPr>
      </w:pPr>
      <w:r>
        <w:rPr>
          <w:rFonts w:ascii="Arial" w:cs="Arial" w:eastAsia="Arial" w:hAnsi="Arial"/>
          <w:sz w:val="19"/>
          <w:szCs w:val="19"/>
          <w:b w:val="1"/>
          <w:bCs w:val="1"/>
          <w:color w:val="auto"/>
        </w:rPr>
        <w:t>SELLER’S INITIALS: PURCHASER’S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-6985</wp:posOffset>
            </wp:positionV>
            <wp:extent cx="304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Seller Default</w:t>
      </w:r>
      <w:r>
        <w:rPr>
          <w:rFonts w:ascii="Arial" w:cs="Arial" w:eastAsia="Arial" w:hAnsi="Arial"/>
          <w:sz w:val="17"/>
          <w:szCs w:val="17"/>
          <w:color w:val="auto"/>
        </w:rPr>
        <w:t xml:space="preserve">. If the Closing fails to occur due to a default of Seller under this Agreement, then Purchaser shall elect as its sole remedy hereunder either: (a) terminate this Agreement by giving written notice thereof to Seller, in which event the Deposit will promptly be returned to Purchaser, Seller promptly shall reimburse Purchaser for the actual out-of-pocket third party costs that Purchaser has incurred in connection with this Agreement and the transaction contemplated hereby in an amount not to exceed $150,000; (b) waive such default and consummate the transactions contemplated hereby in accordance with the terms of this Agreement; or (c) specifically enforce this Agreement to take the actions and to execute and deliver the documents required to convey the Property to the Purchaser in accordance with this Agreement pursuant to California Civil Code Section 1680 and Sections 3384 through 3395. Purchaser hereby irrevocably waives any other right or remedy for such default; provided, however, that if, in breach of this Agreement, Seller intentionally or willfully by selling or entering into a binding agreement to otherwise convey the Property (or any portion thereof) to someone other than Purchaser which renders the remedy of specific performance impossible or impractical to obtain, Seller shall be liable for any damages suffered by Purchaser as a result of such breach, and Purchaser may seek any additional remedies from Seller in law or in equity. If Purchaser brings an action for specific performance, the Deposit shall be returned to Purchaser pending the outcome of such action. Nothing in this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shall limit Purchaser’s rights under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16.7</w:t>
      </w:r>
      <w:r>
        <w:rPr>
          <w:rFonts w:ascii="Arial" w:cs="Arial" w:eastAsia="Arial" w:hAnsi="Arial"/>
          <w:sz w:val="17"/>
          <w:szCs w:val="17"/>
          <w:color w:val="auto"/>
        </w:rPr>
        <w:t>.</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Subsequent Title Matters</w:t>
      </w:r>
      <w:r>
        <w:rPr>
          <w:rFonts w:ascii="Arial" w:cs="Arial" w:eastAsia="Arial" w:hAnsi="Arial"/>
          <w:sz w:val="18"/>
          <w:szCs w:val="18"/>
          <w:color w:val="auto"/>
        </w:rPr>
        <w:t>. If prior to Closing Seller discloses to Purchaser or Purchaser discovers any New Title Matter, then Purchaser shall promptly give Seller written notice of its objection thereto (a “</w:t>
      </w:r>
      <w:r>
        <w:rPr>
          <w:rFonts w:ascii="Arial" w:cs="Arial" w:eastAsia="Arial" w:hAnsi="Arial"/>
          <w:sz w:val="18"/>
          <w:szCs w:val="18"/>
          <w:u w:val="single" w:color="auto"/>
          <w:color w:val="auto"/>
        </w:rPr>
        <w:t>Purchaser’s Notice</w:t>
      </w:r>
      <w:r>
        <w:rPr>
          <w:rFonts w:ascii="Arial" w:cs="Arial" w:eastAsia="Arial" w:hAnsi="Arial"/>
          <w:sz w:val="18"/>
          <w:szCs w:val="18"/>
          <w:color w:val="auto"/>
        </w:rPr>
        <w:t>”). In such event, Seller shall deliver a written notice (a “</w:t>
      </w:r>
      <w:r>
        <w:rPr>
          <w:rFonts w:ascii="Arial" w:cs="Arial" w:eastAsia="Arial" w:hAnsi="Arial"/>
          <w:sz w:val="18"/>
          <w:szCs w:val="18"/>
          <w:u w:val="single" w:color="auto"/>
          <w:color w:val="auto"/>
        </w:rPr>
        <w:t>Seller’s Notice</w:t>
      </w:r>
      <w:r>
        <w:rPr>
          <w:rFonts w:ascii="Arial" w:cs="Arial" w:eastAsia="Arial" w:hAnsi="Arial"/>
          <w:sz w:val="18"/>
          <w:szCs w:val="18"/>
          <w:color w:val="auto"/>
        </w:rPr>
        <w:t>”) to Purchaser within ten (10) days following delivery of such Purchaser’s Notice notifying Purchaser as to whether Seller shall attempt to cure such objection. In addition, Seller may, pursuant to the Seller’s Notice, elect to postpone the Closing for the time reasonably necessary, but in no case longer than fifteen (15) days following delivery of the Seller’s Notice, to cure such objection in order to attempt to remove such objection or cure such objection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600"/>
          </w:cols>
          <w:pgMar w:left="960" w:top="1440" w:right="339" w:bottom="1440" w:gutter="0" w:footer="0" w:header="0"/>
        </w:sectPr>
      </w:pPr>
    </w:p>
    <w:bookmarkStart w:id="107" w:name="page108"/>
    <w:bookmarkEnd w:id="107"/>
    <w:p>
      <w:pPr>
        <w:spacing w:after="0" w:line="99"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sufficient means such that the Title Company will provide affirmative title insurance coverage for such objection. If Seller fails to timely deliver a Seller’s Notice or timely cure the objection, Seller shall be deemed to have elected not to attempt to cure such objection. If Purchaser fails to waive any objection within ten (10) days after (a) notice from Seller that Seller will not cure the objection or (b) a deemed election by Seller not to cure the objection, Purchaser may elect to terminate this Agreement by written notice to Seller, and, if Purchaser makes such election, Seller shall promptly return the Deposit to Purchaser, and this Agreement shall be deemed null and void, and neither party shall have any further obligation or liability hereunder, except those expressly stated to survive termination of this Agreement. Notwithstanding anything in this Agreement to the contrary, Purchaser shall have no obligation to object to any New Title Matter which constitutes a Mandatory Cure Item.</w:t>
      </w:r>
    </w:p>
    <w:p>
      <w:pPr>
        <w:spacing w:after="0" w:line="135" w:lineRule="exact"/>
        <w:rPr>
          <w:sz w:val="20"/>
          <w:szCs w:val="20"/>
          <w:color w:val="auto"/>
        </w:rPr>
      </w:pPr>
    </w:p>
    <w:p>
      <w:pPr>
        <w:jc w:val="both"/>
        <w:ind w:left="640" w:hanging="320"/>
        <w:spacing w:after="0" w:line="266" w:lineRule="auto"/>
        <w:tabs>
          <w:tab w:leader="none" w:pos="631"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request, instruction, or other communication to be given hereunder by either party to the other shall be given by hand delivery, certified or registered mail (return receipt requested), email transmission, or by nationally recognized overnight courier service, addressed to the respective party or parties at the following addresses:</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If to Seller:</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Matrix Service Inc.</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5100 E. Skelly Drive, Suite 100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Tulsa, Oklahoma 74135</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Attention: Justin Sheets</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Email: jsheets@matrixservicecompany.com</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with copy to (which shall not constitute notice):</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McAfee &amp; Taft A Professional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Two W. Second Street, Suite 1100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Tulsa, Oklahoma 74103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Attention: Stephen M. Hetrick</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Email: stephen.hetrick@mcafeetaft.com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If to Purchaser:</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Pisces Logistics Acquisition LLC</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c/o Brookfield Property Group</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Brookfield Place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250 Vesey Street</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10281-1023</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Attn: Andy Smith</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Email: andy.smith@brookfield.com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440" w:right="3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with a copy to (which shall not constitute notice):</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Pisces Logistics Acquisition LLC</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 Brookfield Property Group</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Brookfield Place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250 Vesey Street</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 10281-1023</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Attn: Legal Department</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Email: realestatenotices@brookfield.com</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with a copy to (which shall not constitute notice):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Brookfield Properties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1180 Peachtree Street NE, Suite 3380</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Atlanta, Georgia 30309</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Attn: Gautam Huded</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Email: Gautam.huded@brookfieldproperties.com</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with a copy to (which shall not constitute notice):</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Cox, Castle &amp; Nicholson LLP</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2029 Century Park East, Suite 2100</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Attn: David P. Lari</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Email: dlari@coxcastle.com</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If to Title Company: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Chicago Title Company</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725 South Figueroa Street, Suite 200</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Los Angeles, California 90017</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Attention: Michael Slinger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Email: Mike.Slinger@CTT.com</w:t>
      </w:r>
    </w:p>
    <w:p>
      <w:pPr>
        <w:spacing w:after="0" w:line="200" w:lineRule="exact"/>
        <w:rPr>
          <w:sz w:val="20"/>
          <w:szCs w:val="20"/>
          <w:color w:val="auto"/>
        </w:rPr>
      </w:pPr>
    </w:p>
    <w:p>
      <w:pPr>
        <w:spacing w:after="0" w:line="346" w:lineRule="exact"/>
        <w:rPr>
          <w:sz w:val="20"/>
          <w:szCs w:val="20"/>
          <w:color w:val="auto"/>
        </w:rPr>
      </w:pPr>
    </w:p>
    <w:p>
      <w:pPr>
        <w:jc w:val="both"/>
        <w:ind w:left="640"/>
        <w:spacing w:after="0" w:line="259" w:lineRule="auto"/>
        <w:rPr>
          <w:sz w:val="20"/>
          <w:szCs w:val="20"/>
          <w:color w:val="auto"/>
        </w:rPr>
      </w:pPr>
      <w:r>
        <w:rPr>
          <w:rFonts w:ascii="Arial" w:cs="Arial" w:eastAsia="Arial" w:hAnsi="Arial"/>
          <w:sz w:val="19"/>
          <w:szCs w:val="19"/>
          <w:color w:val="auto"/>
        </w:rPr>
        <w:t>or to such other address or addresses as any party may designate to the others by like notice. Any notice given hereunder shall be deemed given and received on the date of hand delivery, three (3) business days after deposit with the United States Postal Service, on the date on which confirmation of email transmission is received if such receipt occurs during regular business hours and on the next business day if it does not occur during regular business hours, or one (1) business day after delivery to a nationally recognized overnight courier service for next day delivery, as the case may be. The inability to deliver notice because of a changed address of which no notice was given as provided above, or because of rejection or other refusal to accept any notice, shall be deemed to be the receipt of the notice as of the date of such inability to deliver or rejection or refusal to accept. Any notice to be given by any party hereto may be given by the counsel for such party.</w:t>
      </w:r>
    </w:p>
    <w:p>
      <w:pPr>
        <w:spacing w:after="0" w:line="120" w:lineRule="exact"/>
        <w:rPr>
          <w:sz w:val="20"/>
          <w:szCs w:val="20"/>
          <w:color w:val="auto"/>
        </w:rPr>
      </w:pPr>
    </w:p>
    <w:p>
      <w:pPr>
        <w:ind w:left="620" w:hanging="300"/>
        <w:spacing w:after="0"/>
        <w:tabs>
          <w:tab w:leader="none" w:pos="62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Covenants of Seller</w:t>
      </w:r>
      <w:r>
        <w:rPr>
          <w:rFonts w:ascii="Arial" w:cs="Arial" w:eastAsia="Arial" w:hAnsi="Arial"/>
          <w:sz w:val="19"/>
          <w:szCs w:val="19"/>
          <w:color w:val="auto"/>
        </w:rPr>
        <w:t>. Seller hereby covenants from and after the Effective Date and through the Closing Date as follows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5520"/>
        <w:spacing w:after="0"/>
        <w:rPr>
          <w:rFonts w:ascii="Arial" w:cs="Arial" w:eastAsia="Arial" w:hAnsi="Arial"/>
          <w:sz w:val="19"/>
          <w:szCs w:val="19"/>
          <w:color w:val="auto"/>
        </w:rPr>
      </w:pPr>
      <w:r>
        <w:rPr>
          <w:rFonts w:ascii="Arial" w:cs="Arial" w:eastAsia="Arial" w:hAnsi="Arial"/>
          <w:sz w:val="19"/>
          <w:szCs w:val="19"/>
          <w:color w:val="auto"/>
        </w:rPr>
        <w:t>21</w:t>
      </w:r>
    </w:p>
    <w:p>
      <w:pPr>
        <w:sectPr>
          <w:pgSz w:w="11900" w:h="16838" w:orient="portrait"/>
          <w:cols w:equalWidth="0" w:num="1">
            <w:col w:w="11240"/>
          </w:cols>
          <w:pgMar w:left="320" w:top="1381" w:right="339" w:bottom="1440" w:gutter="0" w:footer="0" w:header="0"/>
        </w:sectPr>
      </w:pPr>
    </w:p>
    <w:bookmarkStart w:id="109" w:name="page110"/>
    <w:bookmarkEnd w:id="109"/>
    <w:p>
      <w:pPr>
        <w:spacing w:after="0" w:line="200" w:lineRule="exact"/>
        <w:rPr>
          <w:sz w:val="20"/>
          <w:szCs w:val="20"/>
          <w:color w:val="auto"/>
        </w:rPr>
      </w:pPr>
    </w:p>
    <w:p>
      <w:pPr>
        <w:spacing w:after="0" w:line="293" w:lineRule="exact"/>
        <w:rPr>
          <w:sz w:val="20"/>
          <w:szCs w:val="20"/>
          <w:color w:val="auto"/>
        </w:rPr>
      </w:pPr>
    </w:p>
    <w:p>
      <w:pPr>
        <w:ind w:left="320"/>
        <w:spacing w:after="0"/>
        <w:tabs>
          <w:tab w:leader="none" w:pos="820" w:val="left"/>
        </w:tabs>
        <w:rPr>
          <w:sz w:val="20"/>
          <w:szCs w:val="20"/>
          <w:color w:val="auto"/>
        </w:rPr>
      </w:pPr>
      <w:r>
        <w:rPr>
          <w:rFonts w:ascii="Arial" w:cs="Arial" w:eastAsia="Arial" w:hAnsi="Arial"/>
          <w:sz w:val="19"/>
          <w:szCs w:val="19"/>
          <w:color w:val="auto"/>
        </w:rPr>
        <w:t>15.1</w:t>
      </w:r>
      <w:r>
        <w:rPr>
          <w:sz w:val="20"/>
          <w:szCs w:val="20"/>
          <w:color w:val="auto"/>
        </w:rPr>
        <w:tab/>
      </w:r>
      <w:r>
        <w:rPr>
          <w:rFonts w:ascii="Arial" w:cs="Arial" w:eastAsia="Arial" w:hAnsi="Arial"/>
          <w:sz w:val="17"/>
          <w:szCs w:val="17"/>
          <w:u w:val="single" w:color="auto"/>
          <w:color w:val="auto"/>
        </w:rPr>
        <w:t>Operations</w:t>
      </w:r>
      <w:r>
        <w:rPr>
          <w:rFonts w:ascii="Arial" w:cs="Arial" w:eastAsia="Arial" w:hAnsi="Arial"/>
          <w:sz w:val="17"/>
          <w:szCs w:val="17"/>
          <w:color w:val="auto"/>
        </w:rPr>
        <w:t>. To operate the Property from and after the date hereof in substantially the same manner as prior thereto.</w:t>
      </w:r>
    </w:p>
    <w:p>
      <w:pPr>
        <w:spacing w:after="0" w:line="175" w:lineRule="exact"/>
        <w:rPr>
          <w:sz w:val="20"/>
          <w:szCs w:val="20"/>
          <w:color w:val="auto"/>
        </w:rPr>
      </w:pPr>
    </w:p>
    <w:p>
      <w:pPr>
        <w:ind w:left="320" w:right="420"/>
        <w:spacing w:after="0" w:line="274"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Maintenance</w:t>
      </w:r>
      <w:r>
        <w:rPr>
          <w:rFonts w:ascii="Arial" w:cs="Arial" w:eastAsia="Arial" w:hAnsi="Arial"/>
          <w:sz w:val="19"/>
          <w:szCs w:val="19"/>
          <w:color w:val="auto"/>
        </w:rPr>
        <w:t>. To perform all normal maintenance (if any) from and after the Effective Date in the same fashion as prior to the Effective Date.</w:t>
      </w:r>
    </w:p>
    <w:p>
      <w:pPr>
        <w:spacing w:after="0" w:line="117" w:lineRule="exact"/>
        <w:rPr>
          <w:sz w:val="20"/>
          <w:szCs w:val="20"/>
          <w:color w:val="auto"/>
        </w:rPr>
      </w:pPr>
    </w:p>
    <w:p>
      <w:pPr>
        <w:ind w:left="320" w:right="300"/>
        <w:spacing w:after="0" w:line="274"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Obligations</w:t>
      </w:r>
      <w:r>
        <w:rPr>
          <w:rFonts w:ascii="Arial" w:cs="Arial" w:eastAsia="Arial" w:hAnsi="Arial"/>
          <w:sz w:val="19"/>
          <w:szCs w:val="19"/>
          <w:color w:val="auto"/>
        </w:rPr>
        <w:t>. To fully and timely comply with all obligations to be performed by it under all of the licenses, approvals and laws, regulations and orders applicable to the Property.</w:t>
      </w:r>
    </w:p>
    <w:p>
      <w:pPr>
        <w:spacing w:after="0" w:line="117" w:lineRule="exact"/>
        <w:rPr>
          <w:sz w:val="20"/>
          <w:szCs w:val="20"/>
          <w:color w:val="auto"/>
        </w:rPr>
      </w:pPr>
    </w:p>
    <w:p>
      <w:pPr>
        <w:ind w:left="320" w:right="220"/>
        <w:spacing w:after="0" w:line="350"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u w:val="single" w:color="auto"/>
          <w:color w:val="auto"/>
        </w:rPr>
        <w:t>Agreements</w:t>
      </w:r>
      <w:r>
        <w:rPr>
          <w:rFonts w:ascii="Arial" w:cs="Arial" w:eastAsia="Arial" w:hAnsi="Arial"/>
          <w:sz w:val="17"/>
          <w:szCs w:val="17"/>
          <w:color w:val="auto"/>
        </w:rPr>
        <w:t>. To not, without Buyer’s written approval, enter into any agreement affecting the Property that would survive the Closing except for such agreements that may be cancelled or terminated by Seller, without penalty, by notice of thirty (30) days or less.</w:t>
      </w:r>
    </w:p>
    <w:p>
      <w:pPr>
        <w:spacing w:after="0" w:line="46" w:lineRule="exact"/>
        <w:rPr>
          <w:sz w:val="20"/>
          <w:szCs w:val="20"/>
          <w:color w:val="auto"/>
        </w:rPr>
      </w:pPr>
    </w:p>
    <w:p>
      <w:pPr>
        <w:ind w:left="320" w:right="140"/>
        <w:spacing w:after="0" w:line="288" w:lineRule="auto"/>
        <w:rPr>
          <w:sz w:val="20"/>
          <w:szCs w:val="20"/>
          <w:color w:val="auto"/>
        </w:rPr>
      </w:pPr>
      <w:r>
        <w:rPr>
          <w:rFonts w:ascii="Arial" w:cs="Arial" w:eastAsia="Arial" w:hAnsi="Arial"/>
          <w:sz w:val="19"/>
          <w:szCs w:val="19"/>
          <w:color w:val="auto"/>
        </w:rPr>
        <w:t xml:space="preserve">15.5 </w:t>
      </w:r>
      <w:r>
        <w:rPr>
          <w:rFonts w:ascii="Arial" w:cs="Arial" w:eastAsia="Arial" w:hAnsi="Arial"/>
          <w:sz w:val="19"/>
          <w:szCs w:val="19"/>
          <w:u w:val="single" w:color="auto"/>
          <w:color w:val="auto"/>
        </w:rPr>
        <w:t>Seller Insurance</w:t>
      </w:r>
      <w:r>
        <w:rPr>
          <w:rFonts w:ascii="Arial" w:cs="Arial" w:eastAsia="Arial" w:hAnsi="Arial"/>
          <w:sz w:val="19"/>
          <w:szCs w:val="19"/>
          <w:color w:val="auto"/>
        </w:rPr>
        <w:t>. To cause to be in force insurance on the Property in at least such amounts, and with the same deductibles, as are maintained by Seller on the date hereof.</w:t>
      </w:r>
    </w:p>
    <w:p>
      <w:pPr>
        <w:spacing w:after="0" w:line="92" w:lineRule="exact"/>
        <w:rPr>
          <w:sz w:val="20"/>
          <w:szCs w:val="20"/>
          <w:color w:val="auto"/>
        </w:rPr>
      </w:pPr>
    </w:p>
    <w:p>
      <w:pPr>
        <w:ind w:left="320" w:right="260"/>
        <w:spacing w:after="0" w:line="350"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u w:val="single" w:color="auto"/>
          <w:color w:val="auto"/>
        </w:rPr>
        <w:t>Liens</w:t>
      </w:r>
      <w:r>
        <w:rPr>
          <w:rFonts w:ascii="Arial" w:cs="Arial" w:eastAsia="Arial" w:hAnsi="Arial"/>
          <w:sz w:val="17"/>
          <w:szCs w:val="17"/>
          <w:color w:val="auto"/>
        </w:rPr>
        <w:t>. To not sell, assign, or convey any right, title, or interest whatsoever in or to the Property, or create or permit to attach any lien, security interest, easement, encumbrance, charge, or condition affecting the Property (other than the Permitted Exceptions).</w:t>
      </w:r>
    </w:p>
    <w:p>
      <w:pPr>
        <w:spacing w:after="0" w:line="59" w:lineRule="exact"/>
        <w:rPr>
          <w:sz w:val="20"/>
          <w:szCs w:val="20"/>
          <w:color w:val="auto"/>
        </w:rPr>
      </w:pPr>
    </w:p>
    <w:p>
      <w:pPr>
        <w:ind w:left="300" w:hanging="300"/>
        <w:spacing w:after="0"/>
        <w:tabs>
          <w:tab w:leader="none" w:pos="30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left="320"/>
        <w:spacing w:after="0" w:line="283" w:lineRule="auto"/>
        <w:rPr>
          <w:rFonts w:ascii="Arial" w:cs="Arial" w:eastAsia="Arial" w:hAnsi="Arial"/>
          <w:sz w:val="19"/>
          <w:szCs w:val="19"/>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application to any party or circumstances shall be determined by any court of competent jurisdiction to be invalid and unenforceable to any extent, the remainder of this Agreement or the application of such provision to such person or circumstances, other than those as to which it is so determined invalid or unenforceable, shall not be affected thereby, and each provision hereof shall be valid and shall be enforced to the fullest extent permitted by law.</w:t>
      </w:r>
    </w:p>
    <w:p>
      <w:pPr>
        <w:spacing w:after="0" w:line="112" w:lineRule="exact"/>
        <w:rPr>
          <w:rFonts w:ascii="Arial" w:cs="Arial" w:eastAsia="Arial" w:hAnsi="Arial"/>
          <w:sz w:val="19"/>
          <w:szCs w:val="19"/>
          <w:color w:val="auto"/>
        </w:rPr>
      </w:pPr>
    </w:p>
    <w:p>
      <w:pPr>
        <w:jc w:val="both"/>
        <w:ind w:left="320"/>
        <w:spacing w:after="0" w:line="270" w:lineRule="auto"/>
        <w:rPr>
          <w:rFonts w:ascii="Arial" w:cs="Arial" w:eastAsia="Arial" w:hAnsi="Arial"/>
          <w:sz w:val="19"/>
          <w:szCs w:val="19"/>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This Agreement shall be construed and enforced in accordance with the laws of the State of California. By the execution and delivery of this Agreement, each of the parties hereto hereby irrevocably and unconditionally agrees for itself that any legal action, suit, or proceeding against it with respect to any matter arising under or out of or in connection with this Agreement or for recognition or enforcement of any judgment rendered in any such action, suit, or proceeding may be brought in either a state or federal court of competent jurisdiction in Orange County, California. By the execution and delivery of this Agreement, each of the parties hereto hereby irrevocably accepts and submits itself to the exclusive jurisdiction of each such court, generally and unconditionally, with respect to any such action, suit, or proceeding. By executing and delivering this Agreement, each of the parties hereto irrevocably and unconditionally submits to the personal jurisdiction of each such court described in this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solely for purposes of any action, suit, or proceeding arising out of or relating to this Agreement or for the recognition or enforcement of any judgment rendered or order entered in any such action, suit, or proceeding. EACH PARTY HERETO UNCONDITIONALLY WAIVES TRIAL BY JURY IN ANY ACTION, SUIT, OR PROCEEDING REFERRED TO ABOVE. Each party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8"/>
          <w:szCs w:val="18"/>
          <w:u w:val="single" w:color="auto"/>
          <w:color w:val="auto"/>
        </w:rPr>
        <w:t>Section 16.2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0920"/>
          </w:cols>
          <w:pgMar w:left="640" w:top="1440" w:right="339" w:bottom="1440" w:gutter="0" w:footer="0" w:header="0"/>
        </w:sectPr>
      </w:pPr>
    </w:p>
    <w:bookmarkStart w:id="110" w:name="page111"/>
    <w:bookmarkEnd w:id="110"/>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u w:val="single" w:color="auto"/>
          <w:color w:val="auto"/>
        </w:rPr>
        <w:t>Assignability</w:t>
      </w:r>
      <w:r>
        <w:rPr>
          <w:rFonts w:ascii="Arial" w:cs="Arial" w:eastAsia="Arial" w:hAnsi="Arial"/>
          <w:sz w:val="19"/>
          <w:szCs w:val="19"/>
          <w:color w:val="auto"/>
        </w:rPr>
        <w:t>. Purchaser shall not, by operation of law or otherwise, directly or indirectly, assign, sell or otherwise transfer this Agreement (collectively, a “</w:t>
      </w:r>
      <w:r>
        <w:rPr>
          <w:rFonts w:ascii="Arial" w:cs="Arial" w:eastAsia="Arial" w:hAnsi="Arial"/>
          <w:sz w:val="19"/>
          <w:szCs w:val="19"/>
          <w:u w:val="single" w:color="auto"/>
          <w:color w:val="auto"/>
        </w:rPr>
        <w:t>Transfer</w:t>
      </w:r>
      <w:r>
        <w:rPr>
          <w:rFonts w:ascii="Arial" w:cs="Arial" w:eastAsia="Arial" w:hAnsi="Arial"/>
          <w:sz w:val="19"/>
          <w:szCs w:val="19"/>
          <w:color w:val="auto"/>
        </w:rPr>
        <w:t>”), to any party, without first obtaining Seller’s written consent, which consent shall not be unreasonably withheld, conditioned or delayed; provided, however, Purchaser may Transfer this Agreement to any person or entity that controls, is controlled by, or under common control with Purchaser. No Transfer shall release Purchaser from any obligation or liability under this Agreement. Any Transfer in contravention of this provision shall be void.</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u w:val="single" w:color="auto"/>
          <w:color w:val="auto"/>
        </w:rPr>
        <w:t>Successors Bound</w:t>
      </w:r>
      <w:r>
        <w:rPr>
          <w:rFonts w:ascii="Arial" w:cs="Arial" w:eastAsia="Arial" w:hAnsi="Arial"/>
          <w:sz w:val="19"/>
          <w:szCs w:val="19"/>
          <w:color w:val="auto"/>
        </w:rPr>
        <w:t>. This Agreement shall be binding upon and inure to the benefit of Purchaser and Seller and their successors and permitted assigns.</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16.5 </w:t>
      </w:r>
      <w:r>
        <w:rPr>
          <w:rFonts w:ascii="Arial" w:cs="Arial" w:eastAsia="Arial" w:hAnsi="Arial"/>
          <w:sz w:val="19"/>
          <w:szCs w:val="19"/>
          <w:u w:val="single" w:color="auto"/>
          <w:color w:val="auto"/>
        </w:rPr>
        <w:t>No Public Disclosure</w:t>
      </w:r>
      <w:r>
        <w:rPr>
          <w:rFonts w:ascii="Arial" w:cs="Arial" w:eastAsia="Arial" w:hAnsi="Arial"/>
          <w:sz w:val="19"/>
          <w:szCs w:val="19"/>
          <w:color w:val="auto"/>
        </w:rPr>
        <w:t>. Purchaser and Seller each agrees that it shall not issue (or cause to be issued on its behalf) any press release, advertisement, or other public communication regarding this Agreement, the Property, or the transactions contemplated by this Agreement prior to Closing, without the prior approval of the other party, which approval may be withheld in such other party’s sole and reasonable discretion, except where a legal requirement to do so exists.</w:t>
      </w:r>
    </w:p>
    <w:p>
      <w:pPr>
        <w:spacing w:after="0" w:line="12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16.6 </w:t>
      </w:r>
      <w:r>
        <w:rPr>
          <w:rFonts w:ascii="Arial" w:cs="Arial" w:eastAsia="Arial" w:hAnsi="Arial"/>
          <w:sz w:val="19"/>
          <w:szCs w:val="19"/>
          <w:u w:val="single" w:color="auto"/>
          <w:color w:val="auto"/>
        </w:rPr>
        <w:t>Captions</w:t>
      </w:r>
      <w:r>
        <w:rPr>
          <w:rFonts w:ascii="Arial" w:cs="Arial" w:eastAsia="Arial" w:hAnsi="Arial"/>
          <w:sz w:val="19"/>
          <w:szCs w:val="19"/>
          <w:color w:val="auto"/>
        </w:rPr>
        <w:t>. The captions in this Agreement are inserted only as a matter of convenience and for reference and in no way define, limit or describe the scope of this Agreement or the scope or content of any of it provisions.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16.7 </w:t>
      </w:r>
      <w:r>
        <w:rPr>
          <w:rFonts w:ascii="Arial" w:cs="Arial" w:eastAsia="Arial" w:hAnsi="Arial"/>
          <w:sz w:val="19"/>
          <w:szCs w:val="19"/>
          <w:u w:val="single" w:color="auto"/>
          <w:color w:val="auto"/>
        </w:rPr>
        <w:t>Attorneys’ Fees</w:t>
      </w:r>
      <w:r>
        <w:rPr>
          <w:rFonts w:ascii="Arial" w:cs="Arial" w:eastAsia="Arial" w:hAnsi="Arial"/>
          <w:sz w:val="19"/>
          <w:szCs w:val="19"/>
          <w:color w:val="auto"/>
        </w:rPr>
        <w:t xml:space="preserve">. In the event either party shall default in the performance of any of the terms and conditions of this Agreement, the prevailing party shall be entitled to recover all costs, charges, and expenses of enforcement, including reasonable attorneys’ fees and costs, including all such fees and costs incurred in any trial or appellate proceedings. This </w:t>
      </w:r>
      <w:r>
        <w:rPr>
          <w:rFonts w:ascii="Arial" w:cs="Arial" w:eastAsia="Arial" w:hAnsi="Arial"/>
          <w:sz w:val="19"/>
          <w:szCs w:val="19"/>
          <w:u w:val="single" w:color="auto"/>
          <w:color w:val="auto"/>
        </w:rPr>
        <w:t>Section 16.7</w:t>
      </w:r>
      <w:r>
        <w:rPr>
          <w:rFonts w:ascii="Arial" w:cs="Arial" w:eastAsia="Arial" w:hAnsi="Arial"/>
          <w:sz w:val="19"/>
          <w:szCs w:val="19"/>
          <w:color w:val="auto"/>
        </w:rPr>
        <w:t xml:space="preserve"> shall survive the Closing or earlier termination of this Agreement.</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16.8 </w:t>
      </w:r>
      <w:r>
        <w:rPr>
          <w:rFonts w:ascii="Arial" w:cs="Arial" w:eastAsia="Arial" w:hAnsi="Arial"/>
          <w:sz w:val="19"/>
          <w:szCs w:val="19"/>
          <w:u w:val="single" w:color="auto"/>
          <w:color w:val="auto"/>
        </w:rPr>
        <w:t>No Partnership</w:t>
      </w:r>
      <w:r>
        <w:rPr>
          <w:rFonts w:ascii="Arial" w:cs="Arial" w:eastAsia="Arial" w:hAnsi="Arial"/>
          <w:sz w:val="19"/>
          <w:szCs w:val="19"/>
          <w:color w:val="auto"/>
        </w:rPr>
        <w:t>. Nothing contained in this Agreement shall be construed to create a partnership or joint venture between the parties or their successors or permitted assigns.</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16.9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and delivered in any number of counterparts, each of which so executed and delivered shall be deemed to be an original and all of which shall constitute one and the same instrument. The exchange of executed counterparts of this Agreement or of signature pages by facsimile or other electronic transmission shall constitute effective execution and delivery of this Agreement and may be used in lieu of the original for all purposes.</w:t>
      </w:r>
    </w:p>
    <w:p>
      <w:pPr>
        <w:spacing w:after="0" w:line="12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16.10</w:t>
      </w:r>
      <w:r>
        <w:rPr>
          <w:sz w:val="20"/>
          <w:szCs w:val="20"/>
          <w:color w:val="auto"/>
        </w:rPr>
        <w:tab/>
      </w:r>
      <w:r>
        <w:rPr>
          <w:rFonts w:ascii="Arial" w:cs="Arial" w:eastAsia="Arial" w:hAnsi="Arial"/>
          <w:sz w:val="17"/>
          <w:szCs w:val="17"/>
          <w:u w:val="single" w:color="auto"/>
          <w:color w:val="auto"/>
        </w:rPr>
        <w:t>Time of the Essence</w:t>
      </w:r>
      <w:r>
        <w:rPr>
          <w:rFonts w:ascii="Arial" w:cs="Arial" w:eastAsia="Arial" w:hAnsi="Arial"/>
          <w:sz w:val="17"/>
          <w:szCs w:val="17"/>
          <w:color w:val="auto"/>
        </w:rPr>
        <w:t>. Time is of the essence of this Agreement.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16.11 </w:t>
      </w:r>
      <w:r>
        <w:rPr>
          <w:rFonts w:ascii="Arial" w:cs="Arial" w:eastAsia="Arial" w:hAnsi="Arial"/>
          <w:sz w:val="19"/>
          <w:szCs w:val="19"/>
          <w:u w:val="single" w:color="auto"/>
          <w:color w:val="auto"/>
        </w:rPr>
        <w:t>Proper Execution</w:t>
      </w:r>
      <w:r>
        <w:rPr>
          <w:rFonts w:ascii="Arial" w:cs="Arial" w:eastAsia="Arial" w:hAnsi="Arial"/>
          <w:sz w:val="19"/>
          <w:szCs w:val="19"/>
          <w:color w:val="auto"/>
        </w:rPr>
        <w:t>. The submission by Purchaser to Seller of this Agreement in unsigned form shall be deemed to be a submission solely for Seller’s consideration and not for acceptance and execution. Such submission shall have no binding force and effect, shall not constitute an option, and shall not confer any rights upon Purchaser or impose any obligations upon Seller irrespective of any reliance thereon, change of position or partial performance. This Agreement shall not be binding and effective until fully executed by Seller and Purchaser.</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16.12 </w:t>
      </w:r>
      <w:r>
        <w:rPr>
          <w:rFonts w:ascii="Arial" w:cs="Arial" w:eastAsia="Arial" w:hAnsi="Arial"/>
          <w:sz w:val="19"/>
          <w:szCs w:val="19"/>
          <w:u w:val="single" w:color="auto"/>
          <w:color w:val="auto"/>
        </w:rPr>
        <w:t>Like Kind Exchange</w:t>
      </w:r>
      <w:r>
        <w:rPr>
          <w:rFonts w:ascii="Arial" w:cs="Arial" w:eastAsia="Arial" w:hAnsi="Arial"/>
          <w:sz w:val="19"/>
          <w:szCs w:val="19"/>
          <w:color w:val="auto"/>
        </w:rPr>
        <w:t>. Seller and Purchaser acknowledge that one or both of them may elect to include the Property in a tax deferred exchange transaction pursuant to Section 1031 of the Code (a “</w:t>
      </w:r>
      <w:r>
        <w:rPr>
          <w:rFonts w:ascii="Arial" w:cs="Arial" w:eastAsia="Arial" w:hAnsi="Arial"/>
          <w:sz w:val="19"/>
          <w:szCs w:val="19"/>
          <w:u w:val="single" w:color="auto"/>
          <w:color w:val="auto"/>
        </w:rPr>
        <w:t>1031 Exchange</w:t>
      </w:r>
      <w:r>
        <w:rPr>
          <w:rFonts w:ascii="Arial" w:cs="Arial" w:eastAsia="Arial" w:hAnsi="Arial"/>
          <w:sz w:val="19"/>
          <w:szCs w:val="19"/>
          <w:color w:val="auto"/>
        </w:rPr>
        <w:t>”). Each party (the “</w:t>
      </w:r>
      <w:r>
        <w:rPr>
          <w:rFonts w:ascii="Arial" w:cs="Arial" w:eastAsia="Arial" w:hAnsi="Arial"/>
          <w:sz w:val="19"/>
          <w:szCs w:val="19"/>
          <w:u w:val="single" w:color="auto"/>
          <w:color w:val="auto"/>
        </w:rPr>
        <w:t>Cooperating Party</w:t>
      </w:r>
      <w:r>
        <w:rPr>
          <w:rFonts w:ascii="Arial" w:cs="Arial" w:eastAsia="Arial" w:hAnsi="Arial"/>
          <w:sz w:val="19"/>
          <w:szCs w:val="19"/>
          <w:color w:val="auto"/>
        </w:rPr>
        <w:t>”) agrees, at the request of the other party (the “</w:t>
      </w:r>
      <w:r>
        <w:rPr>
          <w:rFonts w:ascii="Arial" w:cs="Arial" w:eastAsia="Arial" w:hAnsi="Arial"/>
          <w:sz w:val="19"/>
          <w:szCs w:val="19"/>
          <w:u w:val="single" w:color="auto"/>
          <w:color w:val="auto"/>
        </w:rPr>
        <w:t>Requesting Party</w:t>
      </w:r>
      <w:r>
        <w:rPr>
          <w:rFonts w:ascii="Arial" w:cs="Arial" w:eastAsia="Arial" w:hAnsi="Arial"/>
          <w:sz w:val="19"/>
          <w:szCs w:val="19"/>
          <w:color w:val="auto"/>
        </w:rPr>
        <w:t>”), to cooperate with the Requesting Party and third parties in achieving a 1031 Exchange, including consenting to the assignment of this Agreement in connection with a 1031 Exchange. The Requesting Party shall not be relieved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600"/>
          </w:cols>
          <w:pgMar w:left="960" w:top="1440" w:right="339" w:bottom="1440" w:gutter="0" w:footer="0" w:header="0"/>
        </w:sectPr>
      </w:pPr>
    </w:p>
    <w:bookmarkStart w:id="111" w:name="page112"/>
    <w:bookmarkEnd w:id="111"/>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obligations hereunder due to a 1031 Exchange and shall indemnify and hold the Cooperating Party harmless from any additional closing expenses which may result from participation in a 1031 Exchange. The Cooperating Party shall not be required to hold title to any property (other than the Property) in connection with a 1031 Exchange, nor shall the Requesting Party be entitled to delay the Closing in order to accommodate a 1031 Exchange.</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16.13 </w:t>
      </w:r>
      <w:r>
        <w:rPr>
          <w:rFonts w:ascii="Arial" w:cs="Arial" w:eastAsia="Arial" w:hAnsi="Arial"/>
          <w:sz w:val="19"/>
          <w:szCs w:val="19"/>
          <w:u w:val="single" w:color="auto"/>
          <w:color w:val="auto"/>
        </w:rPr>
        <w:t>Construction</w:t>
      </w:r>
      <w:r>
        <w:rPr>
          <w:rFonts w:ascii="Arial" w:cs="Arial" w:eastAsia="Arial" w:hAnsi="Arial"/>
          <w:sz w:val="19"/>
          <w:szCs w:val="19"/>
          <w:color w:val="auto"/>
        </w:rPr>
        <w:t>. In the construction and interpretation of the terms of this Agreement, the rule of construction that a document is to be construed most strictly against the party who prepared it shall not be applied because both parties have participated in the preparation of this Agreement. If the last day of any time period stated herein shall fall on a Saturday, Sunday, or legal holiday in Orange County, California, such time period shall be extended so that it shall end on the next succeeding day that is not a Saturday, Sunday or legal holiday in Orange County, California.</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16.14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Exhibits attached hereto, all of which are incorporated by reference, is the fully integrated entire agreement between the parties with respect to the subject matter hereof. Any oral terms by the Parties discussed either before execution of this Agreement or thereafter, as well as any prior writings not incorporated into this Agreement shall not be considered to be a part of this agreement. No alteration, modification, or interpretation hereof shall be binding unless in writing and signed by both parties.</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16.15 </w:t>
      </w:r>
      <w:r>
        <w:rPr>
          <w:rFonts w:ascii="Arial" w:cs="Arial" w:eastAsia="Arial" w:hAnsi="Arial"/>
          <w:sz w:val="19"/>
          <w:szCs w:val="19"/>
          <w:u w:val="single" w:color="auto"/>
          <w:color w:val="auto"/>
        </w:rPr>
        <w:t>Independent Consideration</w:t>
      </w:r>
      <w:r>
        <w:rPr>
          <w:rFonts w:ascii="Arial" w:cs="Arial" w:eastAsia="Arial" w:hAnsi="Arial"/>
          <w:sz w:val="19"/>
          <w:szCs w:val="19"/>
          <w:color w:val="auto"/>
        </w:rPr>
        <w:t>. Contemporaneously with the execution and delivery of this Agreement, Purchaser has paid to the Seller as further consideration for this Agreement, the amount of ONE HUNDRED DOLLARS ($100) (“Independent Consideration”) in addition to the Deposit and independent of any other consideration provided for hereunder, which Independent Consideration is fully earned by Seller and is not refundable under any circumstances.</w:t>
      </w:r>
    </w:p>
    <w:p>
      <w:pPr>
        <w:spacing w:after="0" w:line="127" w:lineRule="exact"/>
        <w:rPr>
          <w:sz w:val="20"/>
          <w:szCs w:val="20"/>
          <w:color w:val="auto"/>
        </w:rPr>
      </w:pPr>
    </w:p>
    <w:p>
      <w:pPr>
        <w:ind w:left="3980"/>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0600"/>
          </w:cols>
          <w:pgMar w:left="960" w:top="1440" w:right="339" w:bottom="1440" w:gutter="0" w:footer="0" w:header="0"/>
        </w:sectPr>
      </w:pPr>
    </w:p>
    <w:bookmarkStart w:id="112" w:name="page113"/>
    <w:bookmarkEnd w:id="112"/>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Purchaser and Seller have executed this Agreement as of the day and year first above written.</w:t>
      </w:r>
    </w:p>
    <w:p>
      <w:pPr>
        <w:sectPr>
          <w:pgSz w:w="11900" w:h="16838" w:orient="portrait"/>
          <w:cols w:equalWidth="0" w:num="1">
            <w:col w:w="10180"/>
          </w:cols>
          <w:pgMar w:left="320" w:top="1440" w:right="13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SELLER</w:t>
      </w:r>
      <w:r>
        <w:rPr>
          <w:rFonts w:ascii="Arial" w:cs="Arial" w:eastAsia="Arial" w:hAnsi="Arial"/>
          <w:sz w:val="21"/>
          <w:szCs w:val="21"/>
          <w:color w:val="auto"/>
        </w:rPr>
        <w:t>:</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MATRIX SERVICE INC.</w:t>
      </w:r>
    </w:p>
    <w:p>
      <w:pPr>
        <w:spacing w:after="0" w:line="21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-13970</wp:posOffset>
            </wp:positionV>
            <wp:extent cx="11582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ind w:left="31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Kevin S. Cavanah</w:t>
      </w:r>
    </w:p>
    <w:p>
      <w:pPr>
        <w:ind w:left="316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PURCHASER</w:t>
      </w:r>
      <w:r>
        <w:rPr>
          <w:rFonts w:ascii="Arial" w:cs="Arial" w:eastAsia="Arial" w:hAnsi="Arial"/>
          <w:sz w:val="21"/>
          <w:szCs w:val="21"/>
          <w:color w:val="auto"/>
        </w:rPr>
        <w:t>:</w:t>
      </w:r>
    </w:p>
    <w:p>
      <w:pPr>
        <w:spacing w:after="0" w:line="19"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PISCES LOGISTICS ACQUISITION LLC</w:t>
      </w:r>
    </w:p>
    <w:p>
      <w:pPr>
        <w:spacing w:after="0" w:line="213"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Andrew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-13970</wp:posOffset>
            </wp:positionV>
            <wp:extent cx="9734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ind w:left="31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Andrew Smith</w:t>
      </w:r>
    </w:p>
    <w:p>
      <w:pPr>
        <w:ind w:left="31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Global Head of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180"/>
          </w:cols>
          <w:pgMar w:left="320" w:top="1440" w:right="1399" w:bottom="1440" w:gutter="0" w:footer="0" w:header="0"/>
          <w:type w:val="continuous"/>
        </w:sectPr>
      </w:pPr>
    </w:p>
    <w:bookmarkStart w:id="113" w:name="page114"/>
    <w:bookmarkEnd w:id="113"/>
    <w:p>
      <w:pPr>
        <w:spacing w:after="0" w:line="259" w:lineRule="auto"/>
        <w:rPr>
          <w:sz w:val="20"/>
          <w:szCs w:val="20"/>
          <w:color w:val="auto"/>
        </w:rPr>
      </w:pPr>
      <w:r>
        <w:rPr>
          <w:rFonts w:ascii="Arial" w:cs="Arial" w:eastAsia="Arial" w:hAnsi="Arial"/>
          <w:sz w:val="21"/>
          <w:szCs w:val="21"/>
          <w:color w:val="auto"/>
        </w:rPr>
        <w:t>The undersigned hereby acknowledges receipt of the Deposit and agrees to hold and dispose of the Deposit in accordance with the provisions of the foregoing Agreement.</w:t>
      </w:r>
    </w:p>
    <w:p>
      <w:pPr>
        <w:spacing w:after="0" w:line="200" w:lineRule="exact"/>
        <w:rPr>
          <w:sz w:val="20"/>
          <w:szCs w:val="20"/>
          <w:color w:val="auto"/>
        </w:rPr>
      </w:pPr>
    </w:p>
    <w:p>
      <w:pPr>
        <w:spacing w:after="0" w:line="217"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TITLE COMPANY</w:t>
      </w:r>
      <w:r>
        <w:rPr>
          <w:rFonts w:ascii="Arial" w:cs="Arial" w:eastAsia="Arial" w:hAnsi="Arial"/>
          <w:sz w:val="21"/>
          <w:szCs w:val="21"/>
          <w:color w:val="auto"/>
        </w:rPr>
        <w:t>:</w:t>
      </w:r>
    </w:p>
    <w:p>
      <w:pPr>
        <w:spacing w:after="0" w:line="23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CHICAGO TITLE COMPANY</w:t>
      </w:r>
    </w:p>
    <w:p>
      <w:pPr>
        <w:spacing w:after="0" w:line="200" w:lineRule="exact"/>
        <w:rPr>
          <w:sz w:val="20"/>
          <w:szCs w:val="20"/>
          <w:color w:val="auto"/>
        </w:rPr>
      </w:pPr>
    </w:p>
    <w:p>
      <w:pPr>
        <w:spacing w:after="0" w:line="267" w:lineRule="exact"/>
        <w:rPr>
          <w:sz w:val="20"/>
          <w:szCs w:val="20"/>
          <w:color w:val="auto"/>
        </w:rPr>
      </w:pPr>
    </w:p>
    <w:p>
      <w:pPr>
        <w:ind w:left="3160"/>
        <w:spacing w:after="0"/>
        <w:rPr>
          <w:sz w:val="20"/>
          <w:szCs w:val="20"/>
          <w:color w:val="auto"/>
        </w:rPr>
      </w:pPr>
      <w:r>
        <w:rPr>
          <w:rFonts w:ascii="Arial" w:cs="Arial" w:eastAsia="Arial" w:hAnsi="Arial"/>
          <w:sz w:val="21"/>
          <w:szCs w:val="21"/>
          <w:color w:val="auto"/>
        </w:rPr>
        <w:t>By: /s/ Michael Slinger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-13970</wp:posOffset>
            </wp:positionV>
            <wp:extent cx="1047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ind w:left="3160"/>
        <w:spacing w:after="0" w:line="234" w:lineRule="auto"/>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Michael Slinger</w:t>
      </w:r>
    </w:p>
    <w:p>
      <w:pPr>
        <w:ind w:left="31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Senior Vice President</w:t>
      </w:r>
    </w:p>
    <w:p>
      <w:pPr>
        <w:sectPr>
          <w:pgSz w:w="11900" w:h="16838" w:orient="portrait"/>
          <w:cols w:equalWidth="0" w:num="1">
            <w:col w:w="11240"/>
          </w:cols>
          <w:pgMar w:left="320" w:top="13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77" w:right="339" w:bottom="1440" w:gutter="0" w:footer="0" w:header="0"/>
          <w:type w:val="continuous"/>
        </w:sectPr>
      </w:pPr>
    </w:p>
    <w:bookmarkStart w:id="114" w:name="page115"/>
    <w:bookmarkEnd w:id="114"/>
    <w:p>
      <w:pPr>
        <w:jc w:val="center"/>
        <w:ind w:right="-19"/>
        <w:spacing w:after="0"/>
        <w:rPr>
          <w:sz w:val="20"/>
          <w:szCs w:val="20"/>
          <w:color w:val="auto"/>
        </w:rPr>
      </w:pPr>
      <w:r>
        <w:rPr>
          <w:rFonts w:ascii="Arial" w:cs="Arial" w:eastAsia="Arial" w:hAnsi="Arial"/>
          <w:sz w:val="21"/>
          <w:szCs w:val="21"/>
          <w:b w:val="1"/>
          <w:bCs w:val="1"/>
          <w:color w:val="auto"/>
        </w:rPr>
        <w:t>EXHIBIT A</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Legal Description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FOLLOWING DESCRIBED REAL PROPERTY IN THE CITY OF ORANGE, COUNTY OF ORANGE, STATE OF CALIFORNIA:</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1"/>
          <w:szCs w:val="21"/>
          <w:color w:val="auto"/>
        </w:rPr>
        <w:t>PARCEL 1 OF PARCEL MAP NO. 2007-130, IN THE CITY OF ORANGE, COUNTY OF ORANGE, STATE OF CALIFORNIA, AS PER MAP RECORDED IN BOOK 363, PAGES 6 AND 7 OF PARCEL MAPS, IN THE OFFICE OF THE COUNTY RECORDER OF SAID COUNTY.</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APN: 386-581-18</w:t>
      </w:r>
    </w:p>
    <w:p>
      <w:pPr>
        <w:sectPr>
          <w:pgSz w:w="11900" w:h="16838" w:orient="portrait"/>
          <w:cols w:equalWidth="0" w:num="1">
            <w:col w:w="11240"/>
          </w:cols>
          <w:pgMar w:left="320" w:top="13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71" w:right="339" w:bottom="1440" w:gutter="0" w:footer="0" w:header="0"/>
          <w:type w:val="continuous"/>
        </w:sectPr>
      </w:pPr>
    </w:p>
    <w:bookmarkStart w:id="115" w:name="page116"/>
    <w:bookmarkEnd w:id="115"/>
    <w:p>
      <w:pPr>
        <w:jc w:val="center"/>
        <w:ind w:right="19"/>
        <w:spacing w:after="0"/>
        <w:rPr>
          <w:sz w:val="20"/>
          <w:szCs w:val="20"/>
          <w:color w:val="auto"/>
        </w:rPr>
      </w:pPr>
      <w:r>
        <w:rPr>
          <w:rFonts w:ascii="Arial" w:cs="Arial" w:eastAsia="Arial" w:hAnsi="Arial"/>
          <w:sz w:val="21"/>
          <w:szCs w:val="21"/>
          <w:b w:val="1"/>
          <w:bCs w:val="1"/>
          <w:color w:val="auto"/>
        </w:rPr>
        <w:t>EXHIBIT B</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Lease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[Attached]</w:t>
      </w:r>
    </w:p>
    <w:p>
      <w:pPr>
        <w:sectPr>
          <w:pgSz w:w="11900" w:h="16838" w:orient="portrait"/>
          <w:cols w:equalWidth="0" w:num="1">
            <w:col w:w="9019"/>
          </w:cols>
          <w:pgMar w:left="1440" w:top="13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371" w:right="1440" w:bottom="1440" w:gutter="0" w:footer="0" w:header="0"/>
          <w:type w:val="continuous"/>
        </w:sectPr>
      </w:pPr>
    </w:p>
    <w:bookmarkStart w:id="116" w:name="page117"/>
    <w:bookmarkEnd w:id="116"/>
    <w:p>
      <w:pPr>
        <w:jc w:val="center"/>
        <w:ind w:right="-19"/>
        <w:spacing w:after="0"/>
        <w:rPr>
          <w:sz w:val="20"/>
          <w:szCs w:val="20"/>
          <w:color w:val="auto"/>
        </w:rPr>
      </w:pPr>
      <w:r>
        <w:rPr>
          <w:rFonts w:ascii="Arial" w:cs="Arial" w:eastAsia="Arial" w:hAnsi="Arial"/>
          <w:sz w:val="21"/>
          <w:szCs w:val="21"/>
          <w:b w:val="1"/>
          <w:bCs w:val="1"/>
          <w:color w:val="auto"/>
        </w:rPr>
        <w:t>EXHIBIT 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Adjacent Property</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FOLLOWING DESCRIBED REAL PROPERTY IN THE CITY OF ORANGE, COUNTY OF ORANGE, STATE OF CALIFORNIA:</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1"/>
          <w:szCs w:val="21"/>
          <w:color w:val="auto"/>
        </w:rPr>
        <w:t>PARCEL 2 OF PARCEL MAP NO. 2007-130, IN THE CITY OF ORANGE, COUNTY OF ORANGE, STATE OF CALIFORNIA, AS PER MAP RECORDED IN BOOK 363, PAGES 6 AND 7 OF PARCEL MAPS, IN THE OFFICE OF THE COUNTY RECORDER OF SAID COUNTY.</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APN: 386-561-02</w:t>
      </w:r>
    </w:p>
    <w:p>
      <w:pPr>
        <w:sectPr>
          <w:pgSz w:w="11900" w:h="16838" w:orient="portrait"/>
          <w:cols w:equalWidth="0" w:num="1">
            <w:col w:w="11240"/>
          </w:cols>
          <w:pgMar w:left="320" w:top="13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71" w:right="3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21"/>
          <w:szCs w:val="21"/>
          <w:b w:val="1"/>
          <w:bCs w:val="1"/>
          <w:color w:val="auto"/>
        </w:rPr>
        <w:t>EXHIBIT 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 Grant Deed</w:t>
      </w:r>
    </w:p>
    <w:p>
      <w:pPr>
        <w:spacing w:after="0" w:line="200" w:lineRule="exact"/>
        <w:rPr>
          <w:sz w:val="20"/>
          <w:szCs w:val="20"/>
          <w:color w:val="auto"/>
        </w:rPr>
      </w:pPr>
    </w:p>
    <w:p>
      <w:pPr>
        <w:spacing w:after="0" w:line="26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RECORDING REQUESTED BY AND</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WHEN RECORDED RETURN TO:</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AND MAIL TAX STATEMENTS TO:</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APN:</w:t>
      </w: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DOCUMENTARY TRANSFER TAX $________________</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__ Computed on the consideration or value of property conveyed;</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OR</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__ Computed on the consideration or value less liens or encumbrances remaining at time of sale.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The tax has been determined by the undersigned grantor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GRANT DEED</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VALUABLE CONSIDERATION, receipt of which is hereby acknowledged, _________, a Delaware _________, does</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hereby GRANT to ____________________________, a ____________________ , all of Grantor’s right, title and interest in and to</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that certain real property in the City of _______________, County of _____________, State of California, as more particularly</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described in Exhibit “</w:t>
      </w:r>
      <w:r>
        <w:rPr>
          <w:rFonts w:ascii="Arial" w:cs="Arial" w:eastAsia="Arial" w:hAnsi="Arial"/>
          <w:sz w:val="19"/>
          <w:szCs w:val="19"/>
          <w:b w:val="1"/>
          <w:bCs w:val="1"/>
          <w:color w:val="auto"/>
        </w:rPr>
        <w:t>A</w:t>
      </w:r>
      <w:r>
        <w:rPr>
          <w:rFonts w:ascii="Arial" w:cs="Arial" w:eastAsia="Arial" w:hAnsi="Arial"/>
          <w:sz w:val="19"/>
          <w:szCs w:val="19"/>
          <w:color w:val="auto"/>
        </w:rPr>
        <w:t>” attached hereto and made a part hereof, excepting any matters set forth in said Title Report prepared by</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 on ____________________ identified as report no. 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71" w:right="339" w:bottom="1440" w:gutter="0" w:footer="0" w:header="0"/>
        </w:sectPr>
      </w:pPr>
    </w:p>
    <w:bookmarkStart w:id="118" w:name="page119"/>
    <w:bookmarkEnd w:id="118"/>
    <w:p>
      <w:pPr>
        <w:ind w:left="640"/>
        <w:spacing w:after="0"/>
        <w:rPr>
          <w:sz w:val="20"/>
          <w:szCs w:val="20"/>
          <w:color w:val="auto"/>
        </w:rPr>
      </w:pPr>
      <w:r>
        <w:rPr>
          <w:rFonts w:ascii="Arial" w:cs="Arial" w:eastAsia="Arial" w:hAnsi="Arial"/>
          <w:sz w:val="20"/>
          <w:szCs w:val="20"/>
          <w:color w:val="auto"/>
        </w:rPr>
        <w:t>IN WITNESS WHEREOF, Grantor has caused this instrument to be executed on this ____ day of ____________, 20__.</w:t>
      </w:r>
    </w:p>
    <w:p>
      <w:pPr>
        <w:spacing w:after="0" w:line="242"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“GRANTOR”</w:t>
      </w:r>
    </w:p>
    <w:p>
      <w:pPr>
        <w:spacing w:after="0" w:line="200" w:lineRule="exact"/>
        <w:rPr>
          <w:sz w:val="20"/>
          <w:szCs w:val="20"/>
          <w:color w:val="auto"/>
        </w:rPr>
      </w:pPr>
    </w:p>
    <w:p>
      <w:pPr>
        <w:spacing w:after="0" w:line="267"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MATRIX SERVICE INC.</w:t>
      </w:r>
    </w:p>
    <w:p>
      <w:pPr>
        <w:spacing w:after="0" w:line="231"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w:t>
      </w:r>
    </w:p>
    <w:p>
      <w:pPr>
        <w:spacing w:after="0" w:line="7"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Name:</w:t>
      </w:r>
    </w:p>
    <w:p>
      <w:pPr>
        <w:ind w:left="3780"/>
        <w:spacing w:after="0"/>
        <w:rPr>
          <w:sz w:val="20"/>
          <w:szCs w:val="20"/>
          <w:color w:val="auto"/>
        </w:rPr>
      </w:pPr>
      <w:r>
        <w:rPr>
          <w:rFonts w:ascii="Arial" w:cs="Arial" w:eastAsia="Arial" w:hAnsi="Arial"/>
          <w:sz w:val="21"/>
          <w:szCs w:val="21"/>
          <w:color w:val="auto"/>
        </w:rPr>
        <w:t>Title: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State of )</w:t>
      </w:r>
    </w:p>
    <w:p>
      <w:pPr>
        <w:spacing w:after="0" w:line="231" w:lineRule="exact"/>
        <w:rPr>
          <w:sz w:val="20"/>
          <w:szCs w:val="20"/>
          <w:color w:val="auto"/>
        </w:rPr>
      </w:pPr>
    </w:p>
    <w:p>
      <w:pPr>
        <w:ind w:left="1900"/>
        <w:spacing w:after="0"/>
        <w:rPr>
          <w:sz w:val="20"/>
          <w:szCs w:val="20"/>
          <w:color w:val="auto"/>
        </w:rPr>
      </w:pPr>
      <w:r>
        <w:rPr>
          <w:rFonts w:ascii="Arial" w:cs="Arial" w:eastAsia="Arial" w:hAnsi="Arial"/>
          <w:sz w:val="21"/>
          <w:szCs w:val="21"/>
          <w:color w:val="auto"/>
        </w:rPr>
        <w:t>) ss:</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County of )</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On ___________________, before me, _______________________, a Notary Public, personally appeared ____________,</w:t>
      </w:r>
    </w:p>
    <w:p>
      <w:pPr>
        <w:spacing w:after="0" w:line="36"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personally known to me (or proved to 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208"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21"/>
          <w:szCs w:val="21"/>
          <w:color w:val="auto"/>
        </w:rPr>
        <w:t>I certify under PENALTY OF PERJURY under the laws of the State of California that the foregoing paragraph is true and correct.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WITNESS my hand and official seal.</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77"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21"/>
          <w:szCs w:val="21"/>
          <w:u w:val="single" w:color="auto"/>
          <w:color w:val="auto"/>
        </w:rPr>
        <w:t>Exhibit A</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(to Grant Deed)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LEGAL DESCRIPTION</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377" w:right="1440"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1"/>
          <w:szCs w:val="21"/>
          <w:b w:val="1"/>
          <w:bCs w:val="1"/>
          <w:color w:val="auto"/>
        </w:rPr>
        <w:t>EXHIBIT 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 Bill of Sale</w:t>
      </w:r>
    </w:p>
    <w:p>
      <w:pPr>
        <w:spacing w:after="0" w:line="200" w:lineRule="exact"/>
        <w:rPr>
          <w:sz w:val="20"/>
          <w:szCs w:val="20"/>
          <w:color w:val="auto"/>
        </w:rPr>
      </w:pPr>
    </w:p>
    <w:p>
      <w:pPr>
        <w:spacing w:after="0" w:line="243" w:lineRule="exact"/>
        <w:rPr>
          <w:sz w:val="20"/>
          <w:szCs w:val="20"/>
          <w:color w:val="auto"/>
        </w:rPr>
      </w:pPr>
    </w:p>
    <w:p>
      <w:pPr>
        <w:jc w:val="center"/>
        <w:ind w:left="620"/>
        <w:spacing w:after="0"/>
        <w:rPr>
          <w:sz w:val="20"/>
          <w:szCs w:val="20"/>
          <w:color w:val="auto"/>
        </w:rPr>
      </w:pPr>
      <w:r>
        <w:rPr>
          <w:rFonts w:ascii="Arial" w:cs="Arial" w:eastAsia="Arial" w:hAnsi="Arial"/>
          <w:sz w:val="21"/>
          <w:szCs w:val="21"/>
          <w:b w:val="1"/>
          <w:bCs w:val="1"/>
          <w:color w:val="auto"/>
        </w:rPr>
        <w:t>BILL OF SALE, BLANKET CONVEYANCE</w:t>
      </w:r>
    </w:p>
    <w:p>
      <w:pPr>
        <w:spacing w:after="0" w:line="231"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AND ASSIGNMENT</w:t>
      </w:r>
    </w:p>
    <w:p>
      <w:pPr>
        <w:spacing w:after="0" w:line="237" w:lineRule="exact"/>
        <w:rPr>
          <w:sz w:val="20"/>
          <w:szCs w:val="20"/>
          <w:color w:val="auto"/>
        </w:rPr>
      </w:pPr>
    </w:p>
    <w:p>
      <w:pPr>
        <w:jc w:val="both"/>
        <w:ind w:firstLine="1259"/>
        <w:spacing w:after="0" w:line="284" w:lineRule="auto"/>
        <w:rPr>
          <w:sz w:val="20"/>
          <w:szCs w:val="20"/>
          <w:color w:val="auto"/>
        </w:rPr>
      </w:pPr>
      <w:r>
        <w:rPr>
          <w:rFonts w:ascii="Arial" w:cs="Arial" w:eastAsia="Arial" w:hAnsi="Arial"/>
          <w:sz w:val="20"/>
          <w:szCs w:val="20"/>
          <w:color w:val="auto"/>
        </w:rPr>
        <w:t>This Bill of Sale, Blanket Conveyance and Assignment (this “</w:t>
      </w:r>
      <w:r>
        <w:rPr>
          <w:rFonts w:ascii="Arial" w:cs="Arial" w:eastAsia="Arial" w:hAnsi="Arial"/>
          <w:sz w:val="20"/>
          <w:szCs w:val="20"/>
          <w:u w:val="single" w:color="auto"/>
          <w:color w:val="auto"/>
        </w:rPr>
        <w:t>Assignment</w:t>
      </w:r>
      <w:r>
        <w:rPr>
          <w:rFonts w:ascii="Arial" w:cs="Arial" w:eastAsia="Arial" w:hAnsi="Arial"/>
          <w:sz w:val="20"/>
          <w:szCs w:val="20"/>
          <w:color w:val="auto"/>
        </w:rPr>
        <w:t>”) is executed by MATRIX SERVICE INC., an Oklahoma corporation (“</w:t>
      </w:r>
      <w:r>
        <w:rPr>
          <w:rFonts w:ascii="Arial" w:cs="Arial" w:eastAsia="Arial" w:hAnsi="Arial"/>
          <w:sz w:val="20"/>
          <w:szCs w:val="20"/>
          <w:u w:val="single" w:color="auto"/>
          <w:color w:val="auto"/>
        </w:rPr>
        <w:t>Assignor</w:t>
      </w:r>
      <w:r>
        <w:rPr>
          <w:rFonts w:ascii="Arial" w:cs="Arial" w:eastAsia="Arial" w:hAnsi="Arial"/>
          <w:sz w:val="20"/>
          <w:szCs w:val="20"/>
          <w:color w:val="auto"/>
        </w:rPr>
        <w:t>”) to and for the benefit of _______________, a __________________ (“</w:t>
      </w:r>
      <w:r>
        <w:rPr>
          <w:rFonts w:ascii="Arial" w:cs="Arial" w:eastAsia="Arial" w:hAnsi="Arial"/>
          <w:sz w:val="20"/>
          <w:szCs w:val="20"/>
          <w:u w:val="single" w:color="auto"/>
          <w:color w:val="auto"/>
        </w:rPr>
        <w:t>Assignee</w:t>
      </w:r>
      <w:r>
        <w:rPr>
          <w:rFonts w:ascii="Arial" w:cs="Arial" w:eastAsia="Arial" w:hAnsi="Arial"/>
          <w:sz w:val="20"/>
          <w:szCs w:val="20"/>
          <w:color w:val="auto"/>
        </w:rPr>
        <w:t>”).</w:t>
      </w:r>
    </w:p>
    <w:p>
      <w:pPr>
        <w:spacing w:after="0" w:line="145" w:lineRule="exact"/>
        <w:rPr>
          <w:sz w:val="20"/>
          <w:szCs w:val="20"/>
          <w:color w:val="auto"/>
        </w:rPr>
      </w:pPr>
    </w:p>
    <w:p>
      <w:pPr>
        <w:ind w:left="5420"/>
        <w:spacing w:after="0"/>
        <w:rPr>
          <w:sz w:val="20"/>
          <w:szCs w:val="20"/>
          <w:color w:val="auto"/>
        </w:rPr>
      </w:pPr>
      <w:r>
        <w:rPr>
          <w:rFonts w:ascii="Arial" w:cs="Arial" w:eastAsia="Arial" w:hAnsi="Arial"/>
          <w:sz w:val="21"/>
          <w:szCs w:val="21"/>
          <w:b w:val="1"/>
          <w:bCs w:val="1"/>
          <w:color w:val="auto"/>
        </w:rPr>
        <w:t>RECITALS</w:t>
      </w:r>
    </w:p>
    <w:p>
      <w:pPr>
        <w:spacing w:after="0" w:line="231" w:lineRule="exact"/>
        <w:rPr>
          <w:sz w:val="20"/>
          <w:szCs w:val="20"/>
          <w:color w:val="auto"/>
        </w:rPr>
      </w:pPr>
    </w:p>
    <w:p>
      <w:pPr>
        <w:jc w:val="both"/>
        <w:ind w:firstLine="1259"/>
        <w:spacing w:after="0" w:line="25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concurrently herewith Assignor is conveying to Assignee that certain real property (the “</w:t>
      </w:r>
      <w:r>
        <w:rPr>
          <w:rFonts w:ascii="Arial" w:cs="Arial" w:eastAsia="Arial" w:hAnsi="Arial"/>
          <w:sz w:val="21"/>
          <w:szCs w:val="21"/>
          <w:u w:val="single" w:color="auto"/>
          <w:color w:val="auto"/>
        </w:rPr>
        <w:t>Property</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more particularly described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and incorporated herein for all purposes pursuant to that certain Purchase and Sale Agreement dated June ___, 2022 (the “Purchase Agreement”); and</w:t>
      </w:r>
    </w:p>
    <w:p>
      <w:pPr>
        <w:spacing w:after="0" w:line="190" w:lineRule="exact"/>
        <w:rPr>
          <w:sz w:val="20"/>
          <w:szCs w:val="20"/>
          <w:color w:val="auto"/>
        </w:rPr>
      </w:pPr>
    </w:p>
    <w:p>
      <w:pPr>
        <w:jc w:val="both"/>
        <w:ind w:firstLine="1259"/>
        <w:spacing w:after="0" w:line="26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connection with the conveyance of the Property pursuant to the Purchase Agreement, Assignor</w:t>
      </w:r>
      <w:r>
        <w:rPr>
          <w:rFonts w:ascii="Arial" w:cs="Arial" w:eastAsia="Arial" w:hAnsi="Arial"/>
          <w:sz w:val="21"/>
          <w:szCs w:val="21"/>
          <w:b w:val="1"/>
          <w:bCs w:val="1"/>
          <w:color w:val="auto"/>
        </w:rPr>
        <w:t xml:space="preserve"> </w:t>
      </w:r>
      <w:r>
        <w:rPr>
          <w:rFonts w:ascii="Arial" w:cs="Arial" w:eastAsia="Arial" w:hAnsi="Arial"/>
          <w:sz w:val="21"/>
          <w:szCs w:val="21"/>
          <w:color w:val="auto"/>
        </w:rPr>
        <w:t>intends to sell, assign and convey unto Assignee the Assigned Properties (defined below).</w:t>
      </w:r>
    </w:p>
    <w:p>
      <w:pPr>
        <w:spacing w:after="0" w:line="175" w:lineRule="exact"/>
        <w:rPr>
          <w:sz w:val="20"/>
          <w:szCs w:val="20"/>
          <w:color w:val="auto"/>
        </w:rPr>
      </w:pPr>
    </w:p>
    <w:p>
      <w:pPr>
        <w:jc w:val="both"/>
        <w:ind w:firstLine="1259"/>
        <w:spacing w:after="0" w:line="25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and Ten and No/100 Dollars ($10.00) and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in hand paid by Assignee to Assignor, the receipt and sufficiency of which are hereby acknowledged and confessed by Assignor, Assignor and Assignee hereby act and agree as follows:</w:t>
      </w:r>
    </w:p>
    <w:p>
      <w:pPr>
        <w:spacing w:after="0" w:line="190" w:lineRule="exact"/>
        <w:rPr>
          <w:sz w:val="20"/>
          <w:szCs w:val="20"/>
          <w:color w:val="auto"/>
        </w:rPr>
      </w:pPr>
    </w:p>
    <w:p>
      <w:pPr>
        <w:jc w:val="both"/>
        <w:ind w:firstLine="1264"/>
        <w:spacing w:after="0" w:line="238" w:lineRule="auto"/>
        <w:tabs>
          <w:tab w:leader="none" w:pos="1469"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Conveyance</w:t>
      </w:r>
      <w:r>
        <w:rPr>
          <w:rFonts w:ascii="Arial" w:cs="Arial" w:eastAsia="Arial" w:hAnsi="Arial"/>
          <w:sz w:val="21"/>
          <w:szCs w:val="21"/>
          <w:color w:val="auto"/>
        </w:rPr>
        <w:t>. Assignor does hereby</w:t>
      </w:r>
      <w:r>
        <w:rPr>
          <w:rFonts w:ascii="Arial" w:cs="Arial" w:eastAsia="Arial" w:hAnsi="Arial"/>
          <w:sz w:val="21"/>
          <w:szCs w:val="21"/>
          <w:b w:val="1"/>
          <w:bCs w:val="1"/>
          <w:color w:val="auto"/>
        </w:rPr>
        <w:t xml:space="preserve"> ASSIGN, TRANSFER, CONVEY, SET OVER </w:t>
      </w:r>
      <w:r>
        <w:rPr>
          <w:rFonts w:ascii="Arial" w:cs="Arial" w:eastAsia="Arial" w:hAnsi="Arial"/>
          <w:sz w:val="21"/>
          <w:szCs w:val="21"/>
          <w:color w:val="auto"/>
        </w:rPr>
        <w:t>and</w:t>
      </w:r>
      <w:r>
        <w:rPr>
          <w:rFonts w:ascii="Arial" w:cs="Arial" w:eastAsia="Arial" w:hAnsi="Arial"/>
          <w:sz w:val="21"/>
          <w:szCs w:val="21"/>
          <w:b w:val="1"/>
          <w:bCs w:val="1"/>
          <w:color w:val="auto"/>
        </w:rPr>
        <w:t xml:space="preserve"> DELIVER </w:t>
      </w:r>
      <w:r>
        <w:rPr>
          <w:rFonts w:ascii="Arial" w:cs="Arial" w:eastAsia="Arial" w:hAnsi="Arial"/>
          <w:sz w:val="21"/>
          <w:szCs w:val="21"/>
          <w:color w:val="auto"/>
        </w:rPr>
        <w:t>to Assignee,</w:t>
      </w:r>
      <w:r>
        <w:rPr>
          <w:rFonts w:ascii="Arial" w:cs="Arial" w:eastAsia="Arial" w:hAnsi="Arial"/>
          <w:sz w:val="21"/>
          <w:szCs w:val="21"/>
          <w:b w:val="1"/>
          <w:bCs w:val="1"/>
          <w:color w:val="auto"/>
        </w:rPr>
        <w:t xml:space="preserve"> </w:t>
      </w:r>
      <w:r>
        <w:rPr>
          <w:rFonts w:ascii="Arial" w:cs="Arial" w:eastAsia="Arial" w:hAnsi="Arial"/>
          <w:sz w:val="21"/>
          <w:szCs w:val="21"/>
          <w:color w:val="auto"/>
        </w:rPr>
        <w:t>its successors and assigns, the following properties (collectively, the “</w:t>
      </w:r>
      <w:r>
        <w:rPr>
          <w:rFonts w:ascii="Arial" w:cs="Arial" w:eastAsia="Arial" w:hAnsi="Arial"/>
          <w:sz w:val="21"/>
          <w:szCs w:val="21"/>
          <w:u w:val="single" w:color="auto"/>
          <w:color w:val="auto"/>
        </w:rPr>
        <w:t>Assigned Properties</w:t>
      </w:r>
      <w:r>
        <w:rPr>
          <w:rFonts w:ascii="Arial" w:cs="Arial" w:eastAsia="Arial" w:hAnsi="Arial"/>
          <w:sz w:val="21"/>
          <w:szCs w:val="21"/>
          <w:color w:val="auto"/>
        </w:rPr>
        <w:t>”): all of Seller’s right, title and interest, if any, in all (a) warranties and guaranties relating to the Land or the Improvements, (b) all licenses, permits and approvals relating to the Land or the Improvements (but not any licenses, permits or approvals relating to Seller’s operations on the Land), and (c) all plans and specifications relating to the Land and the, Improvements, in each case to the extent that Seller may legally transfer the same.</w:t>
      </w:r>
    </w:p>
    <w:p>
      <w:pPr>
        <w:spacing w:after="0" w:line="208" w:lineRule="exact"/>
        <w:rPr>
          <w:sz w:val="20"/>
          <w:szCs w:val="20"/>
          <w:color w:val="auto"/>
        </w:rPr>
      </w:pPr>
    </w:p>
    <w:p>
      <w:pPr>
        <w:jc w:val="both"/>
        <w:ind w:firstLine="1259"/>
        <w:spacing w:after="0" w:line="277" w:lineRule="auto"/>
        <w:rPr>
          <w:sz w:val="20"/>
          <w:szCs w:val="20"/>
          <w:color w:val="auto"/>
        </w:rPr>
      </w:pPr>
      <w:r>
        <w:rPr>
          <w:rFonts w:ascii="Arial" w:cs="Arial" w:eastAsia="Arial" w:hAnsi="Arial"/>
          <w:sz w:val="19"/>
          <w:szCs w:val="19"/>
          <w:color w:val="auto"/>
        </w:rPr>
        <w:t>TO HAVE AND TO HOLD the Assigned Properties unto Assignee, and Assignee’s successors and assigns forever, and Assignor does hereby bind Assignor, and Assignor’s successors and assigns, to WARRANT and FOREVER DEFEND, all and singular the Assigned Properties unto Assignee, and Assignee’s successors and assigns, against every person whomsoever lawfully claiming or to claim the same, or any part thereof by, through and under Assignor but not otherwise.</w:t>
      </w:r>
    </w:p>
    <w:p>
      <w:pPr>
        <w:spacing w:after="0" w:line="166" w:lineRule="exact"/>
        <w:rPr>
          <w:sz w:val="20"/>
          <w:szCs w:val="20"/>
          <w:color w:val="auto"/>
        </w:rPr>
      </w:pPr>
    </w:p>
    <w:p>
      <w:pPr>
        <w:jc w:val="both"/>
        <w:ind w:firstLine="1264"/>
        <w:spacing w:after="0"/>
        <w:tabs>
          <w:tab w:leader="none" w:pos="1482"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Governing Law; Successors and Assigns; Authority</w:t>
      </w:r>
      <w:r>
        <w:rPr>
          <w:rFonts w:ascii="Arial" w:cs="Arial" w:eastAsia="Arial" w:hAnsi="Arial"/>
          <w:sz w:val="21"/>
          <w:szCs w:val="21"/>
          <w:color w:val="auto"/>
        </w:rPr>
        <w:t>. This Assignment may be executed in any</w:t>
      </w:r>
      <w:r>
        <w:rPr>
          <w:rFonts w:ascii="Arial" w:cs="Arial" w:eastAsia="Arial" w:hAnsi="Arial"/>
          <w:sz w:val="21"/>
          <w:szCs w:val="21"/>
          <w:b w:val="1"/>
          <w:bCs w:val="1"/>
          <w:color w:val="auto"/>
        </w:rPr>
        <w:t xml:space="preserve"> </w:t>
      </w:r>
      <w:r>
        <w:rPr>
          <w:rFonts w:ascii="Arial" w:cs="Arial" w:eastAsia="Arial" w:hAnsi="Arial"/>
          <w:sz w:val="21"/>
          <w:szCs w:val="21"/>
          <w:color w:val="auto"/>
        </w:rPr>
        <w:t>number of counterparts (including PDF and facsimile signatures), and each counterpart hereof shall be deemed to be an original instrument, but all such counterparts shall constitute but one instrument. This Assignment shall be construed and enforced in accordance with and governed by the internal laws of the State of California.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71" w:right="339" w:bottom="1440" w:gutter="0" w:footer="0" w:header="0"/>
        </w:sectPr>
      </w:pPr>
    </w:p>
    <w:bookmarkStart w:id="121" w:name="page122"/>
    <w:bookmarkEnd w:id="121"/>
    <w:p>
      <w:pPr>
        <w:spacing w:after="0"/>
        <w:rPr>
          <w:sz w:val="20"/>
          <w:szCs w:val="20"/>
          <w:color w:val="auto"/>
        </w:rPr>
      </w:pPr>
      <w:r>
        <w:rPr>
          <w:rFonts w:ascii="Arial" w:cs="Arial" w:eastAsia="Arial" w:hAnsi="Arial"/>
          <w:sz w:val="21"/>
          <w:szCs w:val="21"/>
          <w:color w:val="auto"/>
        </w:rPr>
        <w:t>Assignment shall bind and inure to the benefit of Assignor and Assignee and their respective successors and assigns.</w:t>
      </w:r>
    </w:p>
    <w:p>
      <w:pPr>
        <w:spacing w:after="0" w:line="225" w:lineRule="exact"/>
        <w:rPr>
          <w:sz w:val="20"/>
          <w:szCs w:val="20"/>
          <w:color w:val="auto"/>
        </w:rPr>
      </w:pPr>
    </w:p>
    <w:p>
      <w:pPr>
        <w:ind w:firstLine="1264"/>
        <w:spacing w:after="0" w:line="291" w:lineRule="auto"/>
        <w:tabs>
          <w:tab w:leader="none" w:pos="1482" w:val="left"/>
        </w:tabs>
        <w:numPr>
          <w:ilvl w:val="0"/>
          <w:numId w:val="65"/>
        </w:numPr>
        <w:rPr>
          <w:rFonts w:ascii="Arial" w:cs="Arial" w:eastAsia="Arial" w:hAnsi="Arial"/>
          <w:sz w:val="20"/>
          <w:szCs w:val="20"/>
          <w:color w:val="auto"/>
        </w:rPr>
      </w:pPr>
      <w:r>
        <w:rPr>
          <w:rFonts w:ascii="Arial" w:cs="Arial" w:eastAsia="Arial" w:hAnsi="Arial"/>
          <w:sz w:val="20"/>
          <w:szCs w:val="20"/>
          <w:b w:val="1"/>
          <w:bCs w:val="1"/>
          <w:u w:val="single" w:color="auto"/>
          <w:color w:val="auto"/>
        </w:rPr>
        <w:t>Further Assurances</w:t>
      </w:r>
      <w:r>
        <w:rPr>
          <w:rFonts w:ascii="Arial" w:cs="Arial" w:eastAsia="Arial" w:hAnsi="Arial"/>
          <w:sz w:val="20"/>
          <w:szCs w:val="20"/>
          <w:color w:val="auto"/>
        </w:rPr>
        <w:t>. The parties agree to take all such further actions and execute, acknowledge and deliver all</w:t>
      </w:r>
      <w:r>
        <w:rPr>
          <w:rFonts w:ascii="Arial" w:cs="Arial" w:eastAsia="Arial" w:hAnsi="Arial"/>
          <w:sz w:val="20"/>
          <w:szCs w:val="20"/>
          <w:b w:val="1"/>
          <w:bCs w:val="1"/>
          <w:color w:val="auto"/>
        </w:rPr>
        <w:t xml:space="preserve"> </w:t>
      </w:r>
      <w:r>
        <w:rPr>
          <w:rFonts w:ascii="Arial" w:cs="Arial" w:eastAsia="Arial" w:hAnsi="Arial"/>
          <w:sz w:val="20"/>
          <w:szCs w:val="20"/>
          <w:color w:val="auto"/>
        </w:rPr>
        <w:t>such further documents that are reasonably necessary or useful in carrying out the purposes of this Assignment.</w:t>
      </w:r>
    </w:p>
    <w:p>
      <w:pPr>
        <w:spacing w:after="0" w:line="156"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The balance of this page is intentionally left blank</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77"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Assignment is executed as of this ____ day of _______________, 2022.</w:t>
      </w:r>
    </w:p>
    <w:p>
      <w:pPr>
        <w:sectPr>
          <w:pgSz w:w="11900" w:h="16838" w:orient="portrait"/>
          <w:cols w:equalWidth="0" w:num="1">
            <w:col w:w="9499"/>
          </w:cols>
          <w:pgMar w:left="960" w:top="1371" w:right="1440" w:bottom="1440" w:gutter="0" w:footer="0" w:header="0"/>
        </w:sectPr>
      </w:pPr>
    </w:p>
    <w:p>
      <w:pPr>
        <w:spacing w:after="0" w:line="254" w:lineRule="exact"/>
        <w:rPr>
          <w:sz w:val="20"/>
          <w:szCs w:val="20"/>
          <w:color w:val="auto"/>
        </w:rPr>
      </w:pPr>
    </w:p>
    <w:p>
      <w:pPr>
        <w:ind w:left="3140"/>
        <w:spacing w:after="0"/>
        <w:rPr>
          <w:sz w:val="20"/>
          <w:szCs w:val="20"/>
          <w:color w:val="auto"/>
        </w:rPr>
      </w:pPr>
      <w:r>
        <w:rPr>
          <w:rFonts w:ascii="Arial" w:cs="Arial" w:eastAsia="Arial" w:hAnsi="Arial"/>
          <w:sz w:val="21"/>
          <w:szCs w:val="21"/>
          <w:b w:val="1"/>
          <w:bCs w:val="1"/>
          <w:u w:val="single" w:color="auto"/>
          <w:color w:val="auto"/>
        </w:rPr>
        <w:t>ASSIGNOR:</w:t>
      </w:r>
    </w:p>
    <w:p>
      <w:pPr>
        <w:spacing w:after="0" w:line="237"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MATRIX SERVICE INC.</w:t>
      </w:r>
    </w:p>
    <w:p>
      <w:pPr>
        <w:spacing w:after="0" w:line="242"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By:</w:t>
      </w:r>
    </w:p>
    <w:p>
      <w:pPr>
        <w:spacing w:after="0" w:line="7"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Name:</w:t>
      </w:r>
    </w:p>
    <w:p>
      <w:pPr>
        <w:ind w:left="3140"/>
        <w:spacing w:after="0"/>
        <w:rPr>
          <w:sz w:val="20"/>
          <w:szCs w:val="20"/>
          <w:color w:val="auto"/>
        </w:rPr>
      </w:pPr>
      <w:r>
        <w:rPr>
          <w:rFonts w:ascii="Arial" w:cs="Arial" w:eastAsia="Arial" w:hAnsi="Arial"/>
          <w:sz w:val="21"/>
          <w:szCs w:val="21"/>
          <w:color w:val="auto"/>
        </w:rPr>
        <w:t>Title:</w:t>
      </w:r>
    </w:p>
    <w:p>
      <w:pPr>
        <w:spacing w:after="0" w:line="193" w:lineRule="exact"/>
        <w:rPr>
          <w:sz w:val="20"/>
          <w:szCs w:val="20"/>
          <w:color w:val="auto"/>
        </w:rPr>
      </w:pPr>
    </w:p>
    <w:p>
      <w:pPr>
        <w:ind w:left="3140"/>
        <w:spacing w:after="0"/>
        <w:rPr>
          <w:sz w:val="20"/>
          <w:szCs w:val="20"/>
          <w:color w:val="auto"/>
        </w:rPr>
      </w:pPr>
      <w:r>
        <w:rPr>
          <w:rFonts w:ascii="Arial" w:cs="Arial" w:eastAsia="Arial" w:hAnsi="Arial"/>
          <w:sz w:val="21"/>
          <w:szCs w:val="21"/>
          <w:b w:val="1"/>
          <w:bCs w:val="1"/>
          <w:u w:val="single" w:color="auto"/>
          <w:color w:val="auto"/>
        </w:rPr>
        <w:t>ASSIGNEE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By:</w:t>
      </w:r>
    </w:p>
    <w:p>
      <w:pPr>
        <w:spacing w:after="0" w:line="7" w:lineRule="exact"/>
        <w:rPr>
          <w:sz w:val="20"/>
          <w:szCs w:val="20"/>
          <w:color w:val="auto"/>
        </w:rPr>
      </w:pPr>
    </w:p>
    <w:p>
      <w:pPr>
        <w:ind w:left="3140"/>
        <w:spacing w:after="0"/>
        <w:rPr>
          <w:sz w:val="20"/>
          <w:szCs w:val="20"/>
          <w:color w:val="auto"/>
        </w:rPr>
      </w:pPr>
      <w:r>
        <w:rPr>
          <w:rFonts w:ascii="Arial" w:cs="Arial" w:eastAsia="Arial" w:hAnsi="Arial"/>
          <w:sz w:val="21"/>
          <w:szCs w:val="21"/>
          <w:color w:val="auto"/>
        </w:rPr>
        <w:t>Name:</w:t>
      </w:r>
    </w:p>
    <w:p>
      <w:pPr>
        <w:ind w:left="31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9499"/>
          </w:cols>
          <w:pgMar w:left="960" w:top="1371" w:right="1440" w:bottom="1440" w:gutter="0" w:footer="0" w:header="0"/>
          <w:type w:val="continuous"/>
        </w:sectPr>
      </w:pPr>
    </w:p>
    <w:bookmarkStart w:id="123" w:name="page124"/>
    <w:bookmarkEnd w:id="123"/>
    <w:p>
      <w:pPr>
        <w:jc w:val="center"/>
        <w:ind w:right="19"/>
        <w:spacing w:after="0"/>
        <w:rPr>
          <w:sz w:val="20"/>
          <w:szCs w:val="20"/>
          <w:color w:val="auto"/>
        </w:rPr>
      </w:pPr>
      <w:r>
        <w:rPr>
          <w:rFonts w:ascii="Arial" w:cs="Arial" w:eastAsia="Arial" w:hAnsi="Arial"/>
          <w:sz w:val="21"/>
          <w:szCs w:val="21"/>
          <w:u w:val="single" w:color="auto"/>
          <w:color w:val="auto"/>
        </w:rPr>
        <w:t>EXHIBIT A</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(to Bill of Sale)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Property Description</w:t>
      </w:r>
    </w:p>
    <w:p>
      <w:pPr>
        <w:sectPr>
          <w:pgSz w:w="11900" w:h="16838" w:orient="portrait"/>
          <w:cols w:equalWidth="0" w:num="1">
            <w:col w:w="9019"/>
          </w:cols>
          <w:pgMar w:left="1440" w:top="13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377" w:right="1440"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1"/>
          <w:szCs w:val="21"/>
          <w:b w:val="1"/>
          <w:bCs w:val="1"/>
          <w:color w:val="auto"/>
        </w:rPr>
        <w:t>EXHIBIT 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Title Affidavit</w:t>
      </w:r>
    </w:p>
    <w:p>
      <w:pPr>
        <w:sectPr>
          <w:pgSz w:w="11900" w:h="16838" w:orient="portrait"/>
          <w:cols w:equalWidth="0" w:num="1">
            <w:col w:w="9019"/>
          </w:cols>
          <w:pgMar w:left="1440" w:top="13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1371" w:right="1440"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21"/>
          <w:szCs w:val="21"/>
          <w:b w:val="1"/>
          <w:bCs w:val="1"/>
          <w:color w:val="auto"/>
        </w:rPr>
        <w:t>EXHIBIT G-1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Form of Memorandum of Purchase Agreement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RECORDING REQUESTED BY AND</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WHEN RECORDED RETURN TO:</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Pisces Logistics Acquisition LLC</w:t>
      </w:r>
    </w:p>
    <w:p>
      <w:pPr>
        <w:spacing w:after="0" w:line="234" w:lineRule="auto"/>
        <w:rPr>
          <w:sz w:val="20"/>
          <w:szCs w:val="20"/>
          <w:color w:val="auto"/>
        </w:rPr>
      </w:pPr>
      <w:r>
        <w:rPr>
          <w:rFonts w:ascii="Arial" w:cs="Arial" w:eastAsia="Arial" w:hAnsi="Arial"/>
          <w:sz w:val="21"/>
          <w:szCs w:val="21"/>
          <w:color w:val="auto"/>
        </w:rPr>
        <w:t>c/o Brookfield Property Group</w:t>
      </w:r>
    </w:p>
    <w:p>
      <w:pPr>
        <w:spacing w:after="0" w:line="234" w:lineRule="auto"/>
        <w:rPr>
          <w:sz w:val="20"/>
          <w:szCs w:val="20"/>
          <w:color w:val="auto"/>
        </w:rPr>
      </w:pPr>
      <w:r>
        <w:rPr>
          <w:rFonts w:ascii="Arial" w:cs="Arial" w:eastAsia="Arial" w:hAnsi="Arial"/>
          <w:sz w:val="21"/>
          <w:szCs w:val="21"/>
          <w:color w:val="auto"/>
        </w:rPr>
        <w:t>Brookfield Place</w:t>
      </w:r>
    </w:p>
    <w:p>
      <w:pPr>
        <w:spacing w:after="0" w:line="235" w:lineRule="auto"/>
        <w:rPr>
          <w:sz w:val="20"/>
          <w:szCs w:val="20"/>
          <w:color w:val="auto"/>
        </w:rPr>
      </w:pPr>
      <w:r>
        <w:rPr>
          <w:rFonts w:ascii="Arial" w:cs="Arial" w:eastAsia="Arial" w:hAnsi="Arial"/>
          <w:sz w:val="21"/>
          <w:szCs w:val="21"/>
          <w:color w:val="auto"/>
        </w:rPr>
        <w:t>250 Vesey Street</w:t>
      </w:r>
    </w:p>
    <w:p>
      <w:pPr>
        <w:spacing w:after="0" w:line="234" w:lineRule="auto"/>
        <w:rPr>
          <w:sz w:val="20"/>
          <w:szCs w:val="20"/>
          <w:color w:val="auto"/>
        </w:rPr>
      </w:pPr>
      <w:r>
        <w:rPr>
          <w:rFonts w:ascii="Arial" w:cs="Arial" w:eastAsia="Arial" w:hAnsi="Arial"/>
          <w:sz w:val="21"/>
          <w:szCs w:val="21"/>
          <w:color w:val="auto"/>
        </w:rPr>
        <w:t>New York, New York 10281-1023</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Attn: Legal Department</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(Above Space for Recorder’s Use Only)</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APN: 386-581-18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MEMORANDUM OF PURCHASE AGREEMENT</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MEMORANDUM OF PURCHASE AGREEMENT (this “</w:t>
      </w:r>
      <w:r>
        <w:rPr>
          <w:rFonts w:ascii="Arial" w:cs="Arial" w:eastAsia="Arial" w:hAnsi="Arial"/>
          <w:sz w:val="19"/>
          <w:szCs w:val="19"/>
          <w:b w:val="1"/>
          <w:bCs w:val="1"/>
          <w:color w:val="auto"/>
        </w:rPr>
        <w:t>Memorandum</w:t>
      </w:r>
      <w:r>
        <w:rPr>
          <w:rFonts w:ascii="Arial" w:cs="Arial" w:eastAsia="Arial" w:hAnsi="Arial"/>
          <w:sz w:val="19"/>
          <w:szCs w:val="19"/>
          <w:color w:val="auto"/>
        </w:rPr>
        <w:t>”) is made as of _____, 2022, by and between</w:t>
      </w:r>
    </w:p>
    <w:p>
      <w:pPr>
        <w:spacing w:after="0" w:line="4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MATRIX SERVICE INC., an Oklahoma corporation (“</w:t>
      </w:r>
      <w:r>
        <w:rPr>
          <w:rFonts w:ascii="Arial" w:cs="Arial" w:eastAsia="Arial" w:hAnsi="Arial"/>
          <w:sz w:val="21"/>
          <w:szCs w:val="21"/>
          <w:b w:val="1"/>
          <w:bCs w:val="1"/>
          <w:color w:val="auto"/>
        </w:rPr>
        <w:t>Seller</w:t>
      </w:r>
      <w:r>
        <w:rPr>
          <w:rFonts w:ascii="Arial" w:cs="Arial" w:eastAsia="Arial" w:hAnsi="Arial"/>
          <w:sz w:val="21"/>
          <w:szCs w:val="21"/>
          <w:color w:val="auto"/>
        </w:rPr>
        <w:t>”), and PISCES LOGISTICS ACQUISITION LLC, a Delaware limited liability company (“</w:t>
      </w:r>
      <w:r>
        <w:rPr>
          <w:rFonts w:ascii="Arial" w:cs="Arial" w:eastAsia="Arial" w:hAnsi="Arial"/>
          <w:sz w:val="21"/>
          <w:szCs w:val="21"/>
          <w:b w:val="1"/>
          <w:bCs w:val="1"/>
          <w:color w:val="auto"/>
        </w:rPr>
        <w:t>Purchaser</w:t>
      </w:r>
      <w:r>
        <w:rPr>
          <w:rFonts w:ascii="Arial" w:cs="Arial" w:eastAsia="Arial" w:hAnsi="Arial"/>
          <w:sz w:val="21"/>
          <w:szCs w:val="21"/>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99"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21"/>
          <w:szCs w:val="21"/>
          <w:color w:val="auto"/>
        </w:rPr>
        <w:t>A. Seller is the owner of certain real property located at 500 West Collins in the City of Orange, County of Orange (“</w:t>
      </w:r>
      <w:r>
        <w:rPr>
          <w:rFonts w:ascii="Arial" w:cs="Arial" w:eastAsia="Arial" w:hAnsi="Arial"/>
          <w:sz w:val="21"/>
          <w:szCs w:val="21"/>
          <w:b w:val="1"/>
          <w:bCs w:val="1"/>
          <w:color w:val="auto"/>
        </w:rPr>
        <w:t>County</w:t>
      </w:r>
      <w:r>
        <w:rPr>
          <w:rFonts w:ascii="Arial" w:cs="Arial" w:eastAsia="Arial" w:hAnsi="Arial"/>
          <w:sz w:val="21"/>
          <w:szCs w:val="21"/>
          <w:color w:val="auto"/>
        </w:rPr>
        <w:t xml:space="preserve">”), State of California, more particularly described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(the “</w:t>
      </w:r>
      <w:r>
        <w:rPr>
          <w:rFonts w:ascii="Arial" w:cs="Arial" w:eastAsia="Arial" w:hAnsi="Arial"/>
          <w:sz w:val="21"/>
          <w:szCs w:val="21"/>
          <w:b w:val="1"/>
          <w:bCs w:val="1"/>
          <w:color w:val="auto"/>
        </w:rPr>
        <w:t>Property</w:t>
      </w:r>
      <w:r>
        <w:rPr>
          <w:rFonts w:ascii="Arial" w:cs="Arial" w:eastAsia="Arial" w:hAnsi="Arial"/>
          <w:sz w:val="21"/>
          <w:szCs w:val="21"/>
          <w:color w:val="auto"/>
        </w:rPr>
        <w:t>”).</w:t>
      </w:r>
    </w:p>
    <w:p>
      <w:pPr>
        <w:spacing w:after="0" w:line="187" w:lineRule="exact"/>
        <w:rPr>
          <w:sz w:val="20"/>
          <w:szCs w:val="20"/>
          <w:color w:val="auto"/>
        </w:rPr>
      </w:pPr>
    </w:p>
    <w:p>
      <w:pPr>
        <w:jc w:val="both"/>
        <w:ind w:firstLine="629"/>
        <w:spacing w:after="0" w:line="247" w:lineRule="auto"/>
        <w:rPr>
          <w:sz w:val="20"/>
          <w:szCs w:val="20"/>
          <w:color w:val="auto"/>
        </w:rPr>
      </w:pPr>
      <w:r>
        <w:rPr>
          <w:rFonts w:ascii="Arial" w:cs="Arial" w:eastAsia="Arial" w:hAnsi="Arial"/>
          <w:sz w:val="21"/>
          <w:szCs w:val="21"/>
          <w:color w:val="auto"/>
        </w:rPr>
        <w:t xml:space="preserve">B. Seller and Purchaser have entered into that certain unrecorded </w:t>
      </w:r>
      <w:r>
        <w:rPr>
          <w:rFonts w:ascii="Arial" w:cs="Arial" w:eastAsia="Arial" w:hAnsi="Arial"/>
          <w:sz w:val="21"/>
          <w:szCs w:val="21"/>
          <w:i w:val="1"/>
          <w:iCs w:val="1"/>
          <w:color w:val="auto"/>
        </w:rPr>
        <w:t>Purchase and Sale Agreement</w:t>
      </w:r>
      <w:r>
        <w:rPr>
          <w:rFonts w:ascii="Arial" w:cs="Arial" w:eastAsia="Arial" w:hAnsi="Arial"/>
          <w:sz w:val="21"/>
          <w:szCs w:val="21"/>
          <w:color w:val="auto"/>
        </w:rPr>
        <w:t xml:space="preserve"> dated as of June __, 2022 (as may be amended, modified or supplemented from time to time, the “</w:t>
      </w:r>
      <w:r>
        <w:rPr>
          <w:rFonts w:ascii="Arial" w:cs="Arial" w:eastAsia="Arial" w:hAnsi="Arial"/>
          <w:sz w:val="21"/>
          <w:szCs w:val="21"/>
          <w:b w:val="1"/>
          <w:bCs w:val="1"/>
          <w:color w:val="auto"/>
        </w:rPr>
        <w:t>Purchase Agreement</w:t>
      </w:r>
      <w:r>
        <w:rPr>
          <w:rFonts w:ascii="Arial" w:cs="Arial" w:eastAsia="Arial" w:hAnsi="Arial"/>
          <w:sz w:val="21"/>
          <w:szCs w:val="21"/>
          <w:color w:val="auto"/>
        </w:rPr>
        <w:t>”) pursuant to which Seller has agreed to sell the Property to Purchaser upon the terms and conditions set forth therein.</w:t>
      </w:r>
    </w:p>
    <w:p>
      <w:pPr>
        <w:spacing w:after="0" w:line="199" w:lineRule="exact"/>
        <w:rPr>
          <w:sz w:val="20"/>
          <w:szCs w:val="20"/>
          <w:color w:val="auto"/>
        </w:rPr>
      </w:pPr>
    </w:p>
    <w:p>
      <w:pPr>
        <w:jc w:val="both"/>
        <w:ind w:firstLine="629"/>
        <w:spacing w:after="0" w:line="247" w:lineRule="auto"/>
        <w:rPr>
          <w:sz w:val="20"/>
          <w:szCs w:val="20"/>
          <w:color w:val="auto"/>
        </w:rPr>
      </w:pPr>
      <w:r>
        <w:rPr>
          <w:rFonts w:ascii="Arial" w:cs="Arial" w:eastAsia="Arial" w:hAnsi="Arial"/>
          <w:sz w:val="21"/>
          <w:szCs w:val="21"/>
          <w:color w:val="auto"/>
        </w:rPr>
        <w:t>C. Seller and Purchaser desire to execute this Memorandum and cause the same to be recorded in the Official Records of the County for the purpose of memorializing the Purchase Agreement and to provide third parties with notice of the Purchase Agreement.</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for good and valuable consideration, the receipt and sufficiency of which are hereby acknowledged,</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Seller and Purchaser hereby acknowledge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7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1"/>
          <w:szCs w:val="21"/>
          <w:b w:val="1"/>
          <w:bCs w:val="1"/>
          <w:color w:val="auto"/>
        </w:rPr>
        <w:t>AGREEMENT</w:t>
      </w:r>
    </w:p>
    <w:p>
      <w:pPr>
        <w:spacing w:after="0" w:line="237" w:lineRule="exact"/>
        <w:rPr>
          <w:sz w:val="20"/>
          <w:szCs w:val="20"/>
          <w:color w:val="auto"/>
        </w:rPr>
      </w:pPr>
    </w:p>
    <w:p>
      <w:pPr>
        <w:ind w:firstLine="634"/>
        <w:spacing w:after="0" w:line="312" w:lineRule="auto"/>
        <w:tabs>
          <w:tab w:leader="none" w:pos="839" w:val="left"/>
        </w:tabs>
        <w:numPr>
          <w:ilvl w:val="0"/>
          <w:numId w:val="66"/>
        </w:numPr>
        <w:rPr>
          <w:rFonts w:ascii="Arial" w:cs="Arial" w:eastAsia="Arial" w:hAnsi="Arial"/>
          <w:sz w:val="19"/>
          <w:szCs w:val="19"/>
          <w:color w:val="auto"/>
        </w:rPr>
      </w:pPr>
      <w:r>
        <w:rPr>
          <w:rFonts w:ascii="Arial" w:cs="Arial" w:eastAsia="Arial" w:hAnsi="Arial"/>
          <w:sz w:val="19"/>
          <w:szCs w:val="19"/>
          <w:color w:val="auto"/>
        </w:rPr>
        <w:t>Pursuant to the Purchase Agreement and this Memorandum, while the Purchase Agreement is in force and effect, Purchaser has the right to purchase the Property from Seller upon the terms and conditions set forth in the Purchase Agreement.</w:t>
      </w:r>
    </w:p>
    <w:p>
      <w:pPr>
        <w:spacing w:after="0" w:line="140" w:lineRule="exact"/>
        <w:rPr>
          <w:rFonts w:ascii="Arial" w:cs="Arial" w:eastAsia="Arial" w:hAnsi="Arial"/>
          <w:sz w:val="19"/>
          <w:szCs w:val="19"/>
          <w:color w:val="auto"/>
        </w:rPr>
      </w:pPr>
    </w:p>
    <w:p>
      <w:pPr>
        <w:jc w:val="both"/>
        <w:ind w:firstLine="634"/>
        <w:spacing w:after="0" w:line="247" w:lineRule="auto"/>
        <w:tabs>
          <w:tab w:leader="none" w:pos="852"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sole purpose of this Memorandum is to give notice of the Purchase Agreement and all of its terms, covenants and conditions to the same extent as if the Purchase Agreement were fully set forth herein, and this Memorandum is subject to all of the terms, conditions and provisions of the Purchase Agreement.</w:t>
      </w:r>
    </w:p>
    <w:p>
      <w:pPr>
        <w:spacing w:after="0" w:line="185" w:lineRule="exact"/>
        <w:rPr>
          <w:rFonts w:ascii="Arial" w:cs="Arial" w:eastAsia="Arial" w:hAnsi="Arial"/>
          <w:sz w:val="21"/>
          <w:szCs w:val="21"/>
          <w:color w:val="auto"/>
        </w:rPr>
      </w:pPr>
    </w:p>
    <w:p>
      <w:pPr>
        <w:ind w:firstLine="634"/>
        <w:spacing w:after="0" w:line="259" w:lineRule="auto"/>
        <w:tabs>
          <w:tab w:leader="none" w:pos="865"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This Memorandum may be executed in counterparts, each of which will be deemed to be an original, but all of which together will constitute one instrument.</w:t>
      </w:r>
    </w:p>
    <w:p>
      <w:pPr>
        <w:spacing w:after="0" w:line="186" w:lineRule="exact"/>
        <w:rPr>
          <w:rFonts w:ascii="Arial" w:cs="Arial" w:eastAsia="Arial" w:hAnsi="Arial"/>
          <w:sz w:val="21"/>
          <w:szCs w:val="21"/>
          <w:color w:val="auto"/>
        </w:rPr>
      </w:pPr>
    </w:p>
    <w:p>
      <w:pPr>
        <w:ind w:firstLine="634"/>
        <w:spacing w:after="0" w:line="259" w:lineRule="auto"/>
        <w:tabs>
          <w:tab w:leader="none" w:pos="839"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 the event of any conflict between this Memorandum and the Purchase Agreement, the provisions and conditions of the Purchase Agreement shall prevail.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blank</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71" w:right="33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Arial" w:cs="Arial" w:eastAsia="Arial" w:hAnsi="Arial"/>
          <w:sz w:val="21"/>
          <w:szCs w:val="21"/>
          <w:i w:val="1"/>
          <w:iCs w:val="1"/>
          <w:color w:val="auto"/>
        </w:rPr>
        <w:t>Signature Page to</w:t>
      </w:r>
    </w:p>
    <w:p>
      <w:pPr>
        <w:spacing w:after="0" w:line="13" w:lineRule="exact"/>
        <w:rPr>
          <w:sz w:val="20"/>
          <w:szCs w:val="20"/>
          <w:color w:val="auto"/>
        </w:rPr>
      </w:pPr>
    </w:p>
    <w:p>
      <w:pPr>
        <w:jc w:val="center"/>
        <w:ind w:right="-1120"/>
        <w:spacing w:after="0"/>
        <w:rPr>
          <w:sz w:val="20"/>
          <w:szCs w:val="20"/>
          <w:color w:val="auto"/>
        </w:rPr>
      </w:pPr>
      <w:r>
        <w:rPr>
          <w:rFonts w:ascii="Arial" w:cs="Arial" w:eastAsia="Arial" w:hAnsi="Arial"/>
          <w:sz w:val="21"/>
          <w:szCs w:val="21"/>
          <w:i w:val="1"/>
          <w:iCs w:val="1"/>
          <w:color w:val="auto"/>
        </w:rPr>
        <w:t>Memorandum of Purchase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 WITNESS WHEREOF, the parties have executed this Memorandum as of the date first above written.</w:t>
      </w:r>
    </w:p>
    <w:p>
      <w:pPr>
        <w:spacing w:after="0" w:line="248"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auto"/>
        </w:rPr>
        <w:t>SELLER</w:t>
      </w:r>
      <w:r>
        <w:rPr>
          <w:rFonts w:ascii="Arial" w:cs="Arial" w:eastAsia="Arial" w:hAnsi="Arial"/>
          <w:sz w:val="21"/>
          <w:szCs w:val="21"/>
          <w:color w:val="auto"/>
        </w:rPr>
        <w:t>:</w:t>
      </w:r>
    </w:p>
    <w:p>
      <w:pPr>
        <w:spacing w:after="0" w:line="13"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MATRIX SERVICE INC.</w:t>
      </w:r>
    </w:p>
    <w:p>
      <w:pPr>
        <w:ind w:left="3780"/>
        <w:spacing w:after="0" w:line="221" w:lineRule="auto"/>
        <w:rPr>
          <w:sz w:val="20"/>
          <w:szCs w:val="20"/>
          <w:color w:val="auto"/>
        </w:rPr>
      </w:pPr>
      <w:r>
        <w:rPr>
          <w:rFonts w:ascii="Arial" w:cs="Arial" w:eastAsia="Arial" w:hAnsi="Arial"/>
          <w:sz w:val="21"/>
          <w:szCs w:val="21"/>
          <w:color w:val="auto"/>
        </w:rPr>
        <w:t>By:</w:t>
      </w:r>
    </w:p>
    <w:p>
      <w:pPr>
        <w:ind w:left="3780"/>
        <w:spacing w:after="0" w:line="235" w:lineRule="auto"/>
        <w:rPr>
          <w:sz w:val="20"/>
          <w:szCs w:val="20"/>
          <w:color w:val="auto"/>
        </w:rPr>
      </w:pPr>
      <w:r>
        <w:rPr>
          <w:rFonts w:ascii="Arial" w:cs="Arial" w:eastAsia="Arial" w:hAnsi="Arial"/>
          <w:sz w:val="21"/>
          <w:szCs w:val="21"/>
          <w:color w:val="auto"/>
        </w:rPr>
        <w:t>Name:</w:t>
      </w:r>
    </w:p>
    <w:p>
      <w:pPr>
        <w:ind w:left="37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43"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auto"/>
        </w:rPr>
        <w:t>PURCHASER</w:t>
      </w:r>
      <w:r>
        <w:rPr>
          <w:rFonts w:ascii="Arial" w:cs="Arial" w:eastAsia="Arial" w:hAnsi="Arial"/>
          <w:sz w:val="21"/>
          <w:szCs w:val="21"/>
          <w:color w:val="auto"/>
        </w:rPr>
        <w:t>:</w:t>
      </w:r>
    </w:p>
    <w:p>
      <w:pPr>
        <w:spacing w:after="0" w:line="13"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PISCES LOGISTICS ACQUISITION LLC</w:t>
      </w:r>
    </w:p>
    <w:p>
      <w:pPr>
        <w:ind w:left="3780"/>
        <w:spacing w:after="0" w:line="234" w:lineRule="auto"/>
        <w:rPr>
          <w:sz w:val="20"/>
          <w:szCs w:val="20"/>
          <w:color w:val="auto"/>
        </w:rPr>
      </w:pPr>
      <w:r>
        <w:rPr>
          <w:rFonts w:ascii="Arial" w:cs="Arial" w:eastAsia="Arial" w:hAnsi="Arial"/>
          <w:sz w:val="21"/>
          <w:szCs w:val="21"/>
          <w:color w:val="auto"/>
        </w:rPr>
        <w:t>By:</w:t>
      </w:r>
    </w:p>
    <w:p>
      <w:pPr>
        <w:ind w:left="3780"/>
        <w:spacing w:after="0" w:line="235" w:lineRule="auto"/>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139"/>
          </w:cols>
          <w:pgMar w:left="320" w:top="1440" w:right="1440" w:bottom="1440" w:gutter="0" w:footer="0" w:header="0"/>
        </w:sectPr>
      </w:pPr>
    </w:p>
    <w:bookmarkStart w:id="128" w:name="page129"/>
    <w:bookmarkEnd w:id="128"/>
    <w:p>
      <w:pPr>
        <w:ind w:left="2480"/>
        <w:spacing w:after="0"/>
        <w:rPr>
          <w:sz w:val="20"/>
          <w:szCs w:val="20"/>
          <w:color w:val="auto"/>
        </w:rPr>
      </w:pPr>
      <w:r>
        <w:rPr>
          <w:rFonts w:ascii="Arial" w:cs="Arial" w:eastAsia="Arial" w:hAnsi="Arial"/>
          <w:sz w:val="21"/>
          <w:szCs w:val="21"/>
          <w:u w:val="single" w:color="auto"/>
          <w:color w:val="auto"/>
        </w:rPr>
        <w:t>Form of Termination and Release of Memorandum of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144385" cy="13741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44385" cy="1374140"/>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21"/>
          <w:szCs w:val="21"/>
          <w:color w:val="auto"/>
        </w:rPr>
        <w:t>RECORDING REQUESTED BY AND</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1"/>
          <w:szCs w:val="21"/>
          <w:color w:val="auto"/>
        </w:rPr>
        <w:t>WHEN RECORDED RETURN TO:</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1"/>
          <w:szCs w:val="21"/>
          <w:color w:val="auto"/>
        </w:rPr>
        <w:t>Pisces Logistics Acquisition LLC</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 Brookfield Investment Group</w:t>
      </w:r>
    </w:p>
    <w:p>
      <w:pPr>
        <w:ind w:left="40"/>
        <w:spacing w:after="0" w:line="221" w:lineRule="auto"/>
        <w:rPr>
          <w:sz w:val="20"/>
          <w:szCs w:val="20"/>
          <w:color w:val="auto"/>
        </w:rPr>
      </w:pPr>
      <w:r>
        <w:rPr>
          <w:rFonts w:ascii="Arial" w:cs="Arial" w:eastAsia="Arial" w:hAnsi="Arial"/>
          <w:sz w:val="21"/>
          <w:szCs w:val="21"/>
          <w:color w:val="auto"/>
        </w:rPr>
        <w:t>Brookfield Place</w:t>
      </w:r>
    </w:p>
    <w:p>
      <w:pPr>
        <w:ind w:left="40"/>
        <w:spacing w:after="0" w:line="235" w:lineRule="auto"/>
        <w:rPr>
          <w:sz w:val="20"/>
          <w:szCs w:val="20"/>
          <w:color w:val="auto"/>
        </w:rPr>
      </w:pPr>
      <w:r>
        <w:rPr>
          <w:rFonts w:ascii="Arial" w:cs="Arial" w:eastAsia="Arial" w:hAnsi="Arial"/>
          <w:sz w:val="21"/>
          <w:szCs w:val="21"/>
          <w:color w:val="auto"/>
        </w:rPr>
        <w:t>250 Vesey Street</w:t>
      </w:r>
    </w:p>
    <w:p>
      <w:pPr>
        <w:ind w:left="40"/>
        <w:spacing w:after="0" w:line="234" w:lineRule="auto"/>
        <w:rPr>
          <w:sz w:val="20"/>
          <w:szCs w:val="20"/>
          <w:color w:val="auto"/>
        </w:rPr>
      </w:pPr>
      <w:r>
        <w:rPr>
          <w:rFonts w:ascii="Arial" w:cs="Arial" w:eastAsia="Arial" w:hAnsi="Arial"/>
          <w:sz w:val="21"/>
          <w:szCs w:val="21"/>
          <w:color w:val="auto"/>
        </w:rPr>
        <w:t>New York, NY 10281-1023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Attn: Legal Department</w:t>
      </w: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color w:val="auto"/>
        </w:rPr>
        <w:t>APN: 386-581-18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TERMINATION AND RELEASE OF MEMORANDUM OF AGREEMENT</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THIS TERMINATION AND RELEASE OF MEMORANDUM OF AGREEMENT (this “</w:t>
      </w:r>
      <w:r>
        <w:rPr>
          <w:rFonts w:ascii="Arial" w:cs="Arial" w:eastAsia="Arial" w:hAnsi="Arial"/>
          <w:sz w:val="21"/>
          <w:szCs w:val="21"/>
          <w:b w:val="1"/>
          <w:bCs w:val="1"/>
          <w:color w:val="auto"/>
        </w:rPr>
        <w:t>Termination</w:t>
      </w:r>
      <w:r>
        <w:rPr>
          <w:rFonts w:ascii="Arial" w:cs="Arial" w:eastAsia="Arial" w:hAnsi="Arial"/>
          <w:sz w:val="21"/>
          <w:szCs w:val="21"/>
          <w:color w:val="auto"/>
        </w:rPr>
        <w:t>”) is entered into as of the ___ day of April, 2022, by and between MATRIX SERVICE INC., an Oklahoma corporation (“</w:t>
      </w:r>
      <w:r>
        <w:rPr>
          <w:rFonts w:ascii="Arial" w:cs="Arial" w:eastAsia="Arial" w:hAnsi="Arial"/>
          <w:sz w:val="21"/>
          <w:szCs w:val="21"/>
          <w:b w:val="1"/>
          <w:bCs w:val="1"/>
          <w:color w:val="auto"/>
        </w:rPr>
        <w:t>Seller</w:t>
      </w:r>
      <w:r>
        <w:rPr>
          <w:rFonts w:ascii="Arial" w:cs="Arial" w:eastAsia="Arial" w:hAnsi="Arial"/>
          <w:sz w:val="21"/>
          <w:szCs w:val="21"/>
          <w:color w:val="auto"/>
        </w:rPr>
        <w:t>”), and PISCES LOGISTICS ACQUISITION LLC, a Delaware limited liability company (“</w:t>
      </w:r>
      <w:r>
        <w:rPr>
          <w:rFonts w:ascii="Arial" w:cs="Arial" w:eastAsia="Arial" w:hAnsi="Arial"/>
          <w:sz w:val="21"/>
          <w:szCs w:val="21"/>
          <w:b w:val="1"/>
          <w:bCs w:val="1"/>
          <w:color w:val="auto"/>
        </w:rPr>
        <w:t>Purchaser</w:t>
      </w:r>
      <w:r>
        <w:rPr>
          <w:rFonts w:ascii="Arial" w:cs="Arial" w:eastAsia="Arial" w:hAnsi="Arial"/>
          <w:sz w:val="21"/>
          <w:szCs w:val="21"/>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31" w:lineRule="exact"/>
        <w:rPr>
          <w:sz w:val="20"/>
          <w:szCs w:val="20"/>
          <w:color w:val="auto"/>
        </w:rPr>
      </w:pPr>
    </w:p>
    <w:p>
      <w:pPr>
        <w:jc w:val="both"/>
        <w:ind w:left="640" w:hanging="320"/>
        <w:spacing w:after="0" w:line="247" w:lineRule="auto"/>
        <w:tabs>
          <w:tab w:leader="none" w:pos="638" w:val="left"/>
        </w:tabs>
        <w:numPr>
          <w:ilvl w:val="0"/>
          <w:numId w:val="67"/>
        </w:numPr>
        <w:rPr>
          <w:rFonts w:ascii="Arial" w:cs="Arial" w:eastAsia="Arial" w:hAnsi="Arial"/>
          <w:sz w:val="19"/>
          <w:szCs w:val="19"/>
          <w:color w:val="auto"/>
        </w:rPr>
      </w:pPr>
      <w:r>
        <w:rPr>
          <w:rFonts w:ascii="Arial" w:cs="Arial" w:eastAsia="Arial" w:hAnsi="Arial"/>
          <w:sz w:val="21"/>
          <w:szCs w:val="21"/>
          <w:color w:val="auto"/>
        </w:rPr>
        <w:t xml:space="preserve">Seller and Purchaser entered into that certain </w:t>
      </w:r>
      <w:r>
        <w:rPr>
          <w:rFonts w:ascii="Arial" w:cs="Arial" w:eastAsia="Arial" w:hAnsi="Arial"/>
          <w:sz w:val="21"/>
          <w:szCs w:val="21"/>
          <w:i w:val="1"/>
          <w:iCs w:val="1"/>
          <w:color w:val="auto"/>
        </w:rPr>
        <w:t>Purchase and Sale Agreement</w:t>
      </w:r>
      <w:r>
        <w:rPr>
          <w:rFonts w:ascii="Arial" w:cs="Arial" w:eastAsia="Arial" w:hAnsi="Arial"/>
          <w:sz w:val="21"/>
          <w:szCs w:val="21"/>
          <w:color w:val="auto"/>
        </w:rPr>
        <w:t>, dated as of June __, 2022 (as may be amended from time to time, the “</w:t>
      </w:r>
      <w:r>
        <w:rPr>
          <w:rFonts w:ascii="Arial" w:cs="Arial" w:eastAsia="Arial" w:hAnsi="Arial"/>
          <w:sz w:val="21"/>
          <w:szCs w:val="21"/>
          <w:b w:val="1"/>
          <w:bCs w:val="1"/>
          <w:color w:val="auto"/>
        </w:rPr>
        <w:t>Purchase Agreement</w:t>
      </w:r>
      <w:r>
        <w:rPr>
          <w:rFonts w:ascii="Arial" w:cs="Arial" w:eastAsia="Arial" w:hAnsi="Arial"/>
          <w:sz w:val="21"/>
          <w:szCs w:val="21"/>
          <w:color w:val="auto"/>
        </w:rPr>
        <w:t xml:space="preserve">”) concerning the real property described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and made a part of hereof, and all improvements located thereon (collectively, the “Property”).</w:t>
      </w:r>
    </w:p>
    <w:p>
      <w:pPr>
        <w:spacing w:after="0" w:line="198" w:lineRule="exact"/>
        <w:rPr>
          <w:rFonts w:ascii="Arial" w:cs="Arial" w:eastAsia="Arial" w:hAnsi="Arial"/>
          <w:sz w:val="19"/>
          <w:szCs w:val="19"/>
          <w:color w:val="auto"/>
        </w:rPr>
      </w:pPr>
    </w:p>
    <w:p>
      <w:pPr>
        <w:jc w:val="both"/>
        <w:ind w:left="640" w:hanging="320"/>
        <w:spacing w:after="0" w:line="265" w:lineRule="auto"/>
        <w:tabs>
          <w:tab w:leader="none" w:pos="638" w:val="left"/>
        </w:tabs>
        <w:numPr>
          <w:ilvl w:val="0"/>
          <w:numId w:val="68"/>
        </w:numPr>
        <w:rPr>
          <w:rFonts w:ascii="Arial" w:cs="Arial" w:eastAsia="Arial" w:hAnsi="Arial"/>
          <w:sz w:val="18"/>
          <w:szCs w:val="18"/>
          <w:color w:val="auto"/>
        </w:rPr>
      </w:pPr>
      <w:r>
        <w:rPr>
          <w:rFonts w:ascii="Arial" w:cs="Arial" w:eastAsia="Arial" w:hAnsi="Arial"/>
          <w:sz w:val="20"/>
          <w:szCs w:val="20"/>
          <w:color w:val="auto"/>
        </w:rPr>
        <w:t xml:space="preserve">To give notice of the existence of the Purchase Agreement and the rights and agreements described therein, Seller and Purchaser entered into that certain </w:t>
      </w:r>
      <w:r>
        <w:rPr>
          <w:rFonts w:ascii="Arial" w:cs="Arial" w:eastAsia="Arial" w:hAnsi="Arial"/>
          <w:sz w:val="20"/>
          <w:szCs w:val="20"/>
          <w:i w:val="1"/>
          <w:iCs w:val="1"/>
          <w:color w:val="auto"/>
        </w:rPr>
        <w:t>Memorandum of Agreement</w:t>
      </w:r>
      <w:r>
        <w:rPr>
          <w:rFonts w:ascii="Arial" w:cs="Arial" w:eastAsia="Arial" w:hAnsi="Arial"/>
          <w:sz w:val="20"/>
          <w:szCs w:val="20"/>
          <w:color w:val="auto"/>
        </w:rPr>
        <w:t xml:space="preserve"> dated as of ______, 2022 (the “</w:t>
      </w:r>
      <w:r>
        <w:rPr>
          <w:rFonts w:ascii="Arial" w:cs="Arial" w:eastAsia="Arial" w:hAnsi="Arial"/>
          <w:sz w:val="20"/>
          <w:szCs w:val="20"/>
          <w:b w:val="1"/>
          <w:bCs w:val="1"/>
          <w:color w:val="auto"/>
        </w:rPr>
        <w:t>Memorandum</w:t>
      </w:r>
      <w:r>
        <w:rPr>
          <w:rFonts w:ascii="Arial" w:cs="Arial" w:eastAsia="Arial" w:hAnsi="Arial"/>
          <w:sz w:val="20"/>
          <w:szCs w:val="20"/>
          <w:color w:val="auto"/>
        </w:rPr>
        <w:t>”), and recorded on ______, 2022, as Document #_________, in the Official Records of Orange County, California.</w:t>
      </w:r>
    </w:p>
    <w:p>
      <w:pPr>
        <w:spacing w:after="0" w:line="169" w:lineRule="exact"/>
        <w:rPr>
          <w:rFonts w:ascii="Arial" w:cs="Arial" w:eastAsia="Arial" w:hAnsi="Arial"/>
          <w:sz w:val="18"/>
          <w:szCs w:val="18"/>
          <w:color w:val="auto"/>
        </w:rPr>
      </w:pPr>
    </w:p>
    <w:p>
      <w:pPr>
        <w:ind w:left="640" w:hanging="320"/>
        <w:spacing w:after="0"/>
        <w:tabs>
          <w:tab w:leader="none" w:pos="640" w:val="left"/>
        </w:tabs>
        <w:numPr>
          <w:ilvl w:val="0"/>
          <w:numId w:val="69"/>
        </w:numPr>
        <w:rPr>
          <w:rFonts w:ascii="Arial" w:cs="Arial" w:eastAsia="Arial" w:hAnsi="Arial"/>
          <w:sz w:val="19"/>
          <w:szCs w:val="19"/>
          <w:color w:val="auto"/>
        </w:rPr>
      </w:pPr>
      <w:r>
        <w:rPr>
          <w:rFonts w:ascii="Arial" w:cs="Arial" w:eastAsia="Arial" w:hAnsi="Arial"/>
          <w:sz w:val="21"/>
          <w:szCs w:val="21"/>
          <w:color w:val="auto"/>
        </w:rPr>
        <w:t>The parties now desire to terminate and release the Memorandum.</w:t>
      </w:r>
    </w:p>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NOW THEREFORE, for good and valuable consideration, the receipt and sufficiency of which are hereby acknowledged, Seller and Purchaser hereby agree that the Memorandum is hereby terminated and released as an encumbrance on title for the Property; </w:t>
      </w:r>
      <w:r>
        <w:rPr>
          <w:rFonts w:ascii="Arial" w:cs="Arial" w:eastAsia="Arial" w:hAnsi="Arial"/>
          <w:sz w:val="21"/>
          <w:szCs w:val="21"/>
          <w:i w:val="1"/>
          <w:iCs w:val="1"/>
          <w:color w:val="auto"/>
        </w:rPr>
        <w:t>provided</w:t>
      </w:r>
      <w:r>
        <w:rPr>
          <w:rFonts w:ascii="Arial" w:cs="Arial" w:eastAsia="Arial" w:hAnsi="Arial"/>
          <w:sz w:val="21"/>
          <w:szCs w:val="21"/>
          <w:color w:val="auto"/>
        </w:rPr>
        <w:t>, however, this Termination does not release, waive, excuse, obviate or otherwise affect any of the rights or obligations of</w:t>
      </w:r>
      <w:r>
        <w:rPr>
          <w:rFonts w:ascii="Arial" w:cs="Arial" w:eastAsia="Arial" w:hAnsi="Arial"/>
          <w:sz w:val="21"/>
          <w:szCs w:val="21"/>
          <w:i w:val="1"/>
          <w:iCs w:val="1"/>
          <w:color w:val="auto"/>
        </w:rPr>
        <w:t xml:space="preserve"> </w:t>
      </w:r>
      <w:r>
        <w:rPr>
          <w:rFonts w:ascii="Arial" w:cs="Arial" w:eastAsia="Arial" w:hAnsi="Arial"/>
          <w:sz w:val="21"/>
          <w:szCs w:val="21"/>
          <w:color w:val="auto"/>
        </w:rPr>
        <w:t>Seller and Purchaser under the Purchase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377" w:right="339" w:bottom="1440" w:gutter="0" w:footer="0" w:header="0"/>
        </w:sectPr>
      </w:pPr>
    </w:p>
    <w:bookmarkStart w:id="129" w:name="page130"/>
    <w:bookmarkEnd w:id="129"/>
    <w:p>
      <w:pPr>
        <w:jc w:val="center"/>
        <w:ind w:right="-480"/>
        <w:spacing w:after="0"/>
        <w:rPr>
          <w:sz w:val="20"/>
          <w:szCs w:val="20"/>
          <w:color w:val="auto"/>
        </w:rPr>
      </w:pPr>
      <w:r>
        <w:rPr>
          <w:rFonts w:ascii="Arial" w:cs="Arial" w:eastAsia="Arial" w:hAnsi="Arial"/>
          <w:sz w:val="21"/>
          <w:szCs w:val="21"/>
          <w:i w:val="1"/>
          <w:iCs w:val="1"/>
          <w:color w:val="auto"/>
        </w:rPr>
        <w:t>Signature Page to</w:t>
      </w:r>
    </w:p>
    <w:p>
      <w:pPr>
        <w:spacing w:after="0" w:line="13" w:lineRule="exact"/>
        <w:rPr>
          <w:sz w:val="20"/>
          <w:szCs w:val="20"/>
          <w:color w:val="auto"/>
        </w:rPr>
      </w:pPr>
    </w:p>
    <w:p>
      <w:pPr>
        <w:jc w:val="center"/>
        <w:ind w:right="-480"/>
        <w:spacing w:after="0"/>
        <w:rPr>
          <w:sz w:val="20"/>
          <w:szCs w:val="20"/>
          <w:color w:val="auto"/>
        </w:rPr>
      </w:pPr>
      <w:r>
        <w:rPr>
          <w:rFonts w:ascii="Arial" w:cs="Arial" w:eastAsia="Arial" w:hAnsi="Arial"/>
          <w:sz w:val="21"/>
          <w:szCs w:val="21"/>
          <w:i w:val="1"/>
          <w:iCs w:val="1"/>
          <w:color w:val="auto"/>
        </w:rPr>
        <w:t>Termination of Memorandum of Agreement</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executed this instrument as of the date first above written.</w:t>
      </w:r>
    </w:p>
    <w:p>
      <w:pPr>
        <w:spacing w:after="0" w:line="36" w:lineRule="exact"/>
        <w:rPr>
          <w:sz w:val="20"/>
          <w:szCs w:val="20"/>
          <w:color w:val="auto"/>
        </w:rPr>
      </w:pPr>
    </w:p>
    <w:p>
      <w:pPr>
        <w:ind w:left="3460"/>
        <w:spacing w:after="0"/>
        <w:rPr>
          <w:sz w:val="20"/>
          <w:szCs w:val="20"/>
          <w:color w:val="auto"/>
        </w:rPr>
      </w:pPr>
      <w:r>
        <w:rPr>
          <w:rFonts w:ascii="Arial" w:cs="Arial" w:eastAsia="Arial" w:hAnsi="Arial"/>
          <w:sz w:val="21"/>
          <w:szCs w:val="21"/>
          <w:b w:val="1"/>
          <w:bCs w:val="1"/>
          <w:color w:val="auto"/>
        </w:rPr>
        <w:t>SELLER</w:t>
      </w:r>
      <w:r>
        <w:rPr>
          <w:rFonts w:ascii="Arial" w:cs="Arial" w:eastAsia="Arial" w:hAnsi="Arial"/>
          <w:sz w:val="21"/>
          <w:szCs w:val="21"/>
          <w:color w:val="auto"/>
        </w:rPr>
        <w:t>:</w:t>
      </w:r>
    </w:p>
    <w:p>
      <w:pPr>
        <w:spacing w:after="0" w:line="213"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MATRIX SERVICE INC.,</w:t>
      </w:r>
    </w:p>
    <w:p>
      <w:pPr>
        <w:spacing w:after="0" w:line="13"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an Oklahoma corporation</w:t>
      </w:r>
    </w:p>
    <w:p>
      <w:pPr>
        <w:spacing w:after="0" w:line="200" w:lineRule="exact"/>
        <w:rPr>
          <w:sz w:val="20"/>
          <w:szCs w:val="20"/>
          <w:color w:val="auto"/>
        </w:rPr>
      </w:pPr>
    </w:p>
    <w:p>
      <w:pPr>
        <w:spacing w:after="0" w:line="236"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By:</w:t>
      </w:r>
    </w:p>
    <w:p>
      <w:pPr>
        <w:spacing w:after="0" w:line="7"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Name:</w:t>
      </w:r>
    </w:p>
    <w:p>
      <w:pPr>
        <w:ind w:left="34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43" w:lineRule="exact"/>
        <w:rPr>
          <w:sz w:val="20"/>
          <w:szCs w:val="20"/>
          <w:color w:val="auto"/>
        </w:rPr>
      </w:pPr>
    </w:p>
    <w:p>
      <w:pPr>
        <w:ind w:left="3460"/>
        <w:spacing w:after="0"/>
        <w:rPr>
          <w:sz w:val="20"/>
          <w:szCs w:val="20"/>
          <w:color w:val="auto"/>
        </w:rPr>
      </w:pPr>
      <w:r>
        <w:rPr>
          <w:rFonts w:ascii="Arial" w:cs="Arial" w:eastAsia="Arial" w:hAnsi="Arial"/>
          <w:sz w:val="21"/>
          <w:szCs w:val="21"/>
          <w:b w:val="1"/>
          <w:bCs w:val="1"/>
          <w:color w:val="auto"/>
        </w:rPr>
        <w:t>PURCHASER</w:t>
      </w:r>
      <w:r>
        <w:rPr>
          <w:rFonts w:ascii="Arial" w:cs="Arial" w:eastAsia="Arial" w:hAnsi="Arial"/>
          <w:sz w:val="21"/>
          <w:szCs w:val="21"/>
          <w:color w:val="auto"/>
        </w:rPr>
        <w:t>:</w:t>
      </w:r>
    </w:p>
    <w:p>
      <w:pPr>
        <w:spacing w:after="0" w:line="237"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PISCES LOGISTICS ACQUISITION LLC,</w:t>
      </w:r>
    </w:p>
    <w:p>
      <w:pPr>
        <w:spacing w:after="0" w:line="13"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a Delaware limited liability company</w:t>
      </w:r>
    </w:p>
    <w:p>
      <w:pPr>
        <w:spacing w:after="0" w:line="213"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By:</w:t>
      </w:r>
    </w:p>
    <w:p>
      <w:pPr>
        <w:spacing w:after="0" w:line="7" w:lineRule="exact"/>
        <w:rPr>
          <w:sz w:val="20"/>
          <w:szCs w:val="20"/>
          <w:color w:val="auto"/>
        </w:rPr>
      </w:pPr>
    </w:p>
    <w:p>
      <w:pPr>
        <w:ind w:left="3460"/>
        <w:spacing w:after="0"/>
        <w:rPr>
          <w:sz w:val="20"/>
          <w:szCs w:val="20"/>
          <w:color w:val="auto"/>
        </w:rPr>
      </w:pPr>
      <w:r>
        <w:rPr>
          <w:rFonts w:ascii="Arial" w:cs="Arial" w:eastAsia="Arial" w:hAnsi="Arial"/>
          <w:sz w:val="21"/>
          <w:szCs w:val="21"/>
          <w:color w:val="auto"/>
        </w:rPr>
        <w:t>Name:</w:t>
      </w:r>
    </w:p>
    <w:p>
      <w:pPr>
        <w:ind w:left="34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9499"/>
          </w:cols>
          <w:pgMar w:left="960" w:top="1377"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9"/>
          <w:szCs w:val="19"/>
          <w:b w:val="1"/>
          <w:bCs w:val="1"/>
          <w:u w:val="single" w:color="auto"/>
          <w:color w:val="auto"/>
        </w:rPr>
        <w:t>LEASE AGREEMENT</w:t>
      </w:r>
    </w:p>
    <w:p>
      <w:pPr>
        <w:spacing w:after="0" w:line="391" w:lineRule="exact"/>
        <w:rPr>
          <w:sz w:val="20"/>
          <w:szCs w:val="20"/>
          <w:color w:val="auto"/>
        </w:rPr>
      </w:pPr>
    </w:p>
    <w:p>
      <w:pPr>
        <w:jc w:val="both"/>
        <w:ind w:firstLine="629"/>
        <w:spacing w:after="0" w:line="266" w:lineRule="auto"/>
        <w:rPr>
          <w:sz w:val="20"/>
          <w:szCs w:val="20"/>
          <w:color w:val="auto"/>
        </w:rPr>
      </w:pPr>
      <w:r>
        <w:rPr>
          <w:rFonts w:ascii="Arial" w:cs="Arial" w:eastAsia="Arial" w:hAnsi="Arial"/>
          <w:sz w:val="19"/>
          <w:szCs w:val="19"/>
          <w:color w:val="auto"/>
        </w:rPr>
        <w:t>THIS LEASE AGREEMENT (this “</w:t>
      </w:r>
      <w:r>
        <w:rPr>
          <w:rFonts w:ascii="Arial" w:cs="Arial" w:eastAsia="Arial" w:hAnsi="Arial"/>
          <w:sz w:val="19"/>
          <w:szCs w:val="19"/>
          <w:u w:val="single" w:color="auto"/>
          <w:color w:val="auto"/>
        </w:rPr>
        <w:t>Lease</w:t>
      </w:r>
      <w:r>
        <w:rPr>
          <w:rFonts w:ascii="Arial" w:cs="Arial" w:eastAsia="Arial" w:hAnsi="Arial"/>
          <w:sz w:val="19"/>
          <w:szCs w:val="19"/>
          <w:color w:val="auto"/>
        </w:rPr>
        <w:t>”) is made and effective as of June __ 2022, by and between PISCES 500 W COLLINS AVE LLC, a Delaware limited liability company (“</w:t>
      </w:r>
      <w:r>
        <w:rPr>
          <w:rFonts w:ascii="Arial" w:cs="Arial" w:eastAsia="Arial" w:hAnsi="Arial"/>
          <w:sz w:val="19"/>
          <w:szCs w:val="19"/>
          <w:u w:val="single" w:color="auto"/>
          <w:color w:val="auto"/>
        </w:rPr>
        <w:t>Landlord</w:t>
      </w:r>
      <w:r>
        <w:rPr>
          <w:rFonts w:ascii="Arial" w:cs="Arial" w:eastAsia="Arial" w:hAnsi="Arial"/>
          <w:sz w:val="19"/>
          <w:szCs w:val="19"/>
          <w:color w:val="auto"/>
        </w:rPr>
        <w:t>”), and MATRIX SERVICE INC., an Oklahoma corporation (“</w:t>
      </w:r>
      <w:r>
        <w:rPr>
          <w:rFonts w:ascii="Arial" w:cs="Arial" w:eastAsia="Arial" w:hAnsi="Arial"/>
          <w:sz w:val="19"/>
          <w:szCs w:val="19"/>
          <w:u w:val="single" w:color="auto"/>
          <w:color w:val="auto"/>
        </w:rPr>
        <w:t>Tenant</w:t>
      </w:r>
      <w:r>
        <w:rPr>
          <w:rFonts w:ascii="Arial" w:cs="Arial" w:eastAsia="Arial" w:hAnsi="Arial"/>
          <w:sz w:val="19"/>
          <w:szCs w:val="19"/>
          <w:color w:val="auto"/>
        </w:rPr>
        <w:t>”), with respect to the following circumstances:</w:t>
      </w:r>
    </w:p>
    <w:p>
      <w:pPr>
        <w:spacing w:after="0" w:line="113" w:lineRule="exact"/>
        <w:rPr>
          <w:sz w:val="20"/>
          <w:szCs w:val="20"/>
          <w:color w:val="auto"/>
        </w:rPr>
      </w:pPr>
    </w:p>
    <w:p>
      <w:pPr>
        <w:ind w:left="640" w:hanging="320"/>
        <w:spacing w:after="0" w:line="288" w:lineRule="auto"/>
        <w:tabs>
          <w:tab w:leader="none" w:pos="630"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Landlord owns a tract of real property located in Orange County, California, which is more particularly described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(together with the improvements thereon and appurtenances thereto, the “</w:t>
      </w:r>
      <w:r>
        <w:rPr>
          <w:rFonts w:ascii="Arial" w:cs="Arial" w:eastAsia="Arial" w:hAnsi="Arial"/>
          <w:sz w:val="19"/>
          <w:szCs w:val="19"/>
          <w:u w:val="single" w:color="auto"/>
          <w:color w:val="auto"/>
        </w:rPr>
        <w:t>Leased Premises</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620" w:hanging="300"/>
        <w:spacing w:after="0"/>
        <w:tabs>
          <w:tab w:leader="none" w:pos="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Landlord desires to lease to Tenant, and Tenant desires to lease from Landlord, the Leased Premises on the terms provided in this Lease.</w:t>
      </w:r>
    </w:p>
    <w:p>
      <w:pPr>
        <w:spacing w:after="0" w:line="185" w:lineRule="exact"/>
        <w:rPr>
          <w:sz w:val="20"/>
          <w:szCs w:val="20"/>
          <w:color w:val="auto"/>
        </w:rPr>
      </w:pPr>
    </w:p>
    <w:p>
      <w:pPr>
        <w:ind w:firstLine="629"/>
        <w:spacing w:after="0" w:line="288" w:lineRule="auto"/>
        <w:rPr>
          <w:sz w:val="20"/>
          <w:szCs w:val="20"/>
          <w:color w:val="auto"/>
        </w:rPr>
      </w:pPr>
      <w:r>
        <w:rPr>
          <w:rFonts w:ascii="Arial" w:cs="Arial" w:eastAsia="Arial" w:hAnsi="Arial"/>
          <w:sz w:val="19"/>
          <w:szCs w:val="19"/>
          <w:color w:val="auto"/>
        </w:rPr>
        <w:t>NOW, THEREFORE, for good and valuable consideration, the receipt and adequacy of which are hereby acknowledged, Landlord hereby leases the Leased Premises to Tenant on the following terms and conditions:</w:t>
      </w:r>
    </w:p>
    <w:p>
      <w:pPr>
        <w:spacing w:after="0" w:line="86"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ARTICLE I.</w:t>
      </w:r>
    </w:p>
    <w:p>
      <w:pPr>
        <w:spacing w:after="0" w:line="175" w:lineRule="exact"/>
        <w:rPr>
          <w:sz w:val="20"/>
          <w:szCs w:val="20"/>
          <w:color w:val="auto"/>
        </w:rPr>
      </w:pPr>
    </w:p>
    <w:p>
      <w:pPr>
        <w:ind w:left="5180"/>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terms when used in this Lease shall have the meanings indicated:</w:t>
      </w:r>
    </w:p>
    <w:p>
      <w:pPr>
        <w:spacing w:after="0" w:line="162"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Additional Rent</w:t>
      </w:r>
      <w:r>
        <w:rPr>
          <w:rFonts w:ascii="Arial" w:cs="Arial" w:eastAsia="Arial" w:hAnsi="Arial"/>
          <w:sz w:val="17"/>
          <w:szCs w:val="17"/>
          <w:color w:val="auto"/>
        </w:rPr>
        <w:t>” – shall have the meaning set forth in Section 3.3.</w:t>
      </w:r>
    </w:p>
    <w:p>
      <w:pPr>
        <w:spacing w:after="0" w:line="175" w:lineRule="exact"/>
        <w:rPr>
          <w:sz w:val="20"/>
          <w:szCs w:val="20"/>
          <w:color w:val="auto"/>
        </w:rPr>
      </w:pPr>
    </w:p>
    <w:p>
      <w:pPr>
        <w:jc w:val="both"/>
        <w:ind w:left="640"/>
        <w:spacing w:after="0" w:line="264" w:lineRule="auto"/>
        <w:rPr>
          <w:sz w:val="20"/>
          <w:szCs w:val="20"/>
          <w:color w:val="auto"/>
        </w:rPr>
      </w:pPr>
      <w:r>
        <w:rPr>
          <w:rFonts w:ascii="Arial" w:cs="Arial" w:eastAsia="Arial" w:hAnsi="Arial"/>
          <w:sz w:val="19"/>
          <w:szCs w:val="19"/>
          <w:color w:val="auto"/>
        </w:rPr>
        <w:t>1.2 “</w:t>
      </w:r>
      <w:r>
        <w:rPr>
          <w:rFonts w:ascii="Arial" w:cs="Arial" w:eastAsia="Arial" w:hAnsi="Arial"/>
          <w:sz w:val="19"/>
          <w:szCs w:val="19"/>
          <w:u w:val="single" w:color="auto"/>
          <w:color w:val="auto"/>
        </w:rPr>
        <w:t>Affiliates</w:t>
      </w:r>
      <w:r>
        <w:rPr>
          <w:rFonts w:ascii="Arial" w:cs="Arial" w:eastAsia="Arial" w:hAnsi="Arial"/>
          <w:sz w:val="19"/>
          <w:szCs w:val="19"/>
          <w:color w:val="auto"/>
        </w:rPr>
        <w:t>” - shall mean (a) with respect to any Person, any Person directly or indirectly controlling, controlled by or under direct or indirect common control with such other Person and (b) with respect to any Person who is an individual, any Person who is a sibling, lineal descendent or spouse of such individual and of any other Person who is otherwise an Affiliate (as defined in subsection (a)) of such individual or sibling, lineal descendent or spouse of such individual.</w:t>
      </w:r>
    </w:p>
    <w:p>
      <w:pPr>
        <w:spacing w:after="0" w:line="114" w:lineRule="exact"/>
        <w:rPr>
          <w:sz w:val="20"/>
          <w:szCs w:val="20"/>
          <w:color w:val="auto"/>
        </w:rPr>
      </w:pPr>
    </w:p>
    <w:p>
      <w:pPr>
        <w:jc w:val="both"/>
        <w:ind w:left="640"/>
        <w:spacing w:after="0" w:line="266" w:lineRule="auto"/>
        <w:rPr>
          <w:sz w:val="20"/>
          <w:szCs w:val="20"/>
          <w:color w:val="auto"/>
        </w:rPr>
      </w:pPr>
      <w:r>
        <w:rPr>
          <w:rFonts w:ascii="Arial" w:cs="Arial" w:eastAsia="Arial" w:hAnsi="Arial"/>
          <w:sz w:val="19"/>
          <w:szCs w:val="19"/>
          <w:color w:val="auto"/>
        </w:rPr>
        <w:t>1.3 “</w:t>
      </w:r>
      <w:r>
        <w:rPr>
          <w:rFonts w:ascii="Arial" w:cs="Arial" w:eastAsia="Arial" w:hAnsi="Arial"/>
          <w:sz w:val="19"/>
          <w:szCs w:val="19"/>
          <w:u w:val="single" w:color="auto"/>
          <w:color w:val="auto"/>
        </w:rPr>
        <w:t>Applicable Law</w:t>
      </w:r>
      <w:r>
        <w:rPr>
          <w:rFonts w:ascii="Arial" w:cs="Arial" w:eastAsia="Arial" w:hAnsi="Arial"/>
          <w:sz w:val="19"/>
          <w:szCs w:val="19"/>
          <w:color w:val="auto"/>
        </w:rPr>
        <w:t>” - shall mean with respect to any event, circumstance or activity, any federal, state or local statute, law, ordinance, rule, regulation, order, writ, injunction, legally binding directive, judgment, decree or other legally binding requirement of any Governmental Authority and the common law applicable to such event, circumstance or activity.</w:t>
      </w:r>
    </w:p>
    <w:p>
      <w:pPr>
        <w:spacing w:after="0" w:line="126"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Commencement Date</w:t>
      </w:r>
      <w:r>
        <w:rPr>
          <w:rFonts w:ascii="Arial" w:cs="Arial" w:eastAsia="Arial" w:hAnsi="Arial"/>
          <w:sz w:val="17"/>
          <w:szCs w:val="17"/>
          <w:color w:val="auto"/>
        </w:rPr>
        <w:t>” - shall mean the date of this Lease.</w:t>
      </w:r>
    </w:p>
    <w:p>
      <w:pPr>
        <w:spacing w:after="0" w:line="175"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Condemnation</w:t>
      </w:r>
      <w:r>
        <w:rPr>
          <w:rFonts w:ascii="Arial" w:cs="Arial" w:eastAsia="Arial" w:hAnsi="Arial"/>
          <w:sz w:val="17"/>
          <w:szCs w:val="17"/>
          <w:color w:val="auto"/>
        </w:rPr>
        <w:t>” - shall mean any partial or complete taking of the Leased Premises as a result of a Condemnation Proceeding.</w:t>
      </w:r>
    </w:p>
    <w:p>
      <w:pPr>
        <w:spacing w:after="0" w:line="162" w:lineRule="exact"/>
        <w:rPr>
          <w:sz w:val="20"/>
          <w:szCs w:val="20"/>
          <w:color w:val="auto"/>
        </w:rPr>
      </w:pPr>
    </w:p>
    <w:p>
      <w:pPr>
        <w:jc w:val="both"/>
        <w:ind w:left="640"/>
        <w:spacing w:after="0" w:line="288"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Condemnation Proceeding</w:t>
      </w:r>
      <w:r>
        <w:rPr>
          <w:rFonts w:ascii="Arial" w:cs="Arial" w:eastAsia="Arial" w:hAnsi="Arial"/>
          <w:sz w:val="19"/>
          <w:szCs w:val="19"/>
          <w:color w:val="auto"/>
        </w:rPr>
        <w:t>” - shall mean any proceeding instituted by a Governmental Authority to take all, or any portion, of the Leased Premises for public use or purpose under a power of eminent domain.</w:t>
      </w:r>
    </w:p>
    <w:p>
      <w:pPr>
        <w:spacing w:after="0" w:line="92"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Disassembly Option</w:t>
      </w:r>
      <w:r>
        <w:rPr>
          <w:rFonts w:ascii="Arial" w:cs="Arial" w:eastAsia="Arial" w:hAnsi="Arial"/>
          <w:sz w:val="17"/>
          <w:szCs w:val="17"/>
          <w:color w:val="auto"/>
        </w:rPr>
        <w:t>” – shall have the meaning set forth in Section 2.6.1.</w:t>
      </w:r>
    </w:p>
    <w:p>
      <w:pPr>
        <w:spacing w:after="0" w:line="175" w:lineRule="exact"/>
        <w:rPr>
          <w:sz w:val="20"/>
          <w:szCs w:val="20"/>
          <w:color w:val="auto"/>
        </w:rPr>
      </w:pPr>
    </w:p>
    <w:p>
      <w:pPr>
        <w:jc w:val="both"/>
        <w:ind w:left="640"/>
        <w:spacing w:after="0" w:line="264" w:lineRule="auto"/>
        <w:rPr>
          <w:sz w:val="20"/>
          <w:szCs w:val="20"/>
          <w:color w:val="auto"/>
        </w:rPr>
      </w:pPr>
      <w:r>
        <w:rPr>
          <w:rFonts w:ascii="Arial" w:cs="Arial" w:eastAsia="Arial" w:hAnsi="Arial"/>
          <w:sz w:val="19"/>
          <w:szCs w:val="19"/>
          <w:color w:val="auto"/>
        </w:rPr>
        <w:t>1.8 “</w:t>
      </w:r>
      <w:r>
        <w:rPr>
          <w:rFonts w:ascii="Arial" w:cs="Arial" w:eastAsia="Arial" w:hAnsi="Arial"/>
          <w:sz w:val="19"/>
          <w:szCs w:val="19"/>
          <w:u w:val="single" w:color="auto"/>
          <w:color w:val="auto"/>
        </w:rPr>
        <w:t>Environmental Claim</w:t>
      </w:r>
      <w:r>
        <w:rPr>
          <w:rFonts w:ascii="Arial" w:cs="Arial" w:eastAsia="Arial" w:hAnsi="Arial"/>
          <w:sz w:val="19"/>
          <w:szCs w:val="19"/>
          <w:color w:val="auto"/>
        </w:rPr>
        <w:t>” - shall mean any claim, action, cause of action, investigation or notice by any Person alleging potential liability (including potential liability for investigatory tests, cleanup costs, governmental response costs, natural resources damages, property damages, personal injuries or penalties) arising out of, based on or resulting from (a) the presence, or release into the environment, of any Hazardous Materials at any location, (b) any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62" w:right="339" w:bottom="1440" w:gutter="0" w:footer="0" w:header="0"/>
        </w:sectPr>
      </w:pPr>
    </w:p>
    <w:bookmarkStart w:id="131" w:name="page132"/>
    <w:bookmarkEnd w:id="131"/>
    <w:p>
      <w:pPr>
        <w:spacing w:after="0" w:line="99" w:lineRule="exact"/>
        <w:rPr>
          <w:sz w:val="20"/>
          <w:szCs w:val="20"/>
          <w:color w:val="auto"/>
        </w:rPr>
      </w:pPr>
    </w:p>
    <w:p>
      <w:pPr>
        <w:spacing w:after="0"/>
        <w:rPr>
          <w:sz w:val="20"/>
          <w:szCs w:val="20"/>
          <w:color w:val="auto"/>
        </w:rPr>
      </w:pPr>
      <w:r>
        <w:rPr>
          <w:rFonts w:ascii="Arial" w:cs="Arial" w:eastAsia="Arial" w:hAnsi="Arial"/>
          <w:sz w:val="19"/>
          <w:szCs w:val="19"/>
          <w:color w:val="auto"/>
        </w:rPr>
        <w:t>Condition or (c) any other circumstance forming the basis of any violation, or alleged violation, of any Environmental Law.</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1.9 “</w:t>
      </w:r>
      <w:r>
        <w:rPr>
          <w:rFonts w:ascii="Arial" w:cs="Arial" w:eastAsia="Arial" w:hAnsi="Arial"/>
          <w:sz w:val="19"/>
          <w:szCs w:val="19"/>
          <w:u w:val="single" w:color="auto"/>
          <w:color w:val="auto"/>
        </w:rPr>
        <w:t>Environmental Condition</w:t>
      </w:r>
      <w:r>
        <w:rPr>
          <w:rFonts w:ascii="Arial" w:cs="Arial" w:eastAsia="Arial" w:hAnsi="Arial"/>
          <w:sz w:val="19"/>
          <w:szCs w:val="19"/>
          <w:color w:val="auto"/>
        </w:rPr>
        <w:t>” - shall mean a condition of the soil, surface waters, groundwater, stream sediments, air and/or similar environmental media including any release or threatened release of Hazardous Materials, either on or off a property resulting from any activity, inactivity or operations occurring on such property, that (a) by virtue of Environmental Laws, (i) requires investigatory, corrective or remedial measures, (ii) comprises a basis for claims against, demands of and/or liabilities of Landlord or Tenant or in respect of the Leased Premises, or (iii) requires reporting to a Governmental Authority; or (b) involves the presence of any Hazardous Materials in concentrations or quantities exceeding applicable Environmental Laws.</w:t>
      </w:r>
    </w:p>
    <w:p>
      <w:pPr>
        <w:spacing w:after="0" w:line="12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Environmental Laws</w:t>
      </w:r>
      <w:r>
        <w:rPr>
          <w:rFonts w:ascii="Arial" w:cs="Arial" w:eastAsia="Arial" w:hAnsi="Arial"/>
          <w:sz w:val="18"/>
          <w:szCs w:val="18"/>
          <w:color w:val="auto"/>
        </w:rPr>
        <w:t>” - shall mean any and all federal, state, local or municipal laws, rules, orders, regulations, statutes, ordinances, codes, guidelines, policies or requirements of any Governmental Authority regulating or imposing standards of liability or of conduct (including common law) concerning air, water, solid waste, Hazardous Materials, worker and community right-to-know, hazard communication, noise, resource protection, subdivision, inland wetlands and watercourses, health protection or other environmental, health, safety, building and land use concerns as might now or at any time hereafter be in effect.</w:t>
      </w:r>
    </w:p>
    <w:p>
      <w:pPr>
        <w:spacing w:after="0" w:line="10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 shall have the meaning set forth in Section 11.1.</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u w:val="single" w:color="auto"/>
          <w:color w:val="auto"/>
        </w:rPr>
        <w:t>Event of Destruction</w:t>
      </w:r>
      <w:r>
        <w:rPr>
          <w:rFonts w:ascii="Arial" w:cs="Arial" w:eastAsia="Arial" w:hAnsi="Arial"/>
          <w:sz w:val="19"/>
          <w:szCs w:val="19"/>
          <w:color w:val="auto"/>
        </w:rPr>
        <w:t>” - shall mean any event that damages or destroys the Leased Premises, including without limitation, fires, earthquakes, the elements, riots, acts of God or the public enemy, or other casualties.</w:t>
      </w:r>
    </w:p>
    <w:p>
      <w:pPr>
        <w:spacing w:after="0" w:line="11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Fabrication Building</w:t>
      </w:r>
      <w:r>
        <w:rPr>
          <w:rFonts w:ascii="Arial" w:cs="Arial" w:eastAsia="Arial" w:hAnsi="Arial"/>
          <w:sz w:val="17"/>
          <w:szCs w:val="17"/>
          <w:color w:val="auto"/>
        </w:rPr>
        <w:t>” – shall mean the metal building on the Leased Premises where Tenant’s fabrication shop is located.</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1.14 “</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 shall mean any federal, territorial, state or local governmental authority, quasi-governmental authority, instrumentality, court, government or self-regulatory organization, commission, tribunal or organization or any regulatory, administrative or other agency, or any political or other subdivision, department or branch of any of the foregoing.</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 shall mean any petroleum, petroleum products, fuel oil, derivatives of petroleum products or fuel oil, explosives, reactive materials, ignitable materials, corrosive materials, pollutants, contaminants, hazardous chemicals, hazardous wastes, hazardous substances, extremely hazardous substances, toxic substances, toxic chemicals, radioactive materials, asbestos-containing materials, black mold stachybotrys chartarum (toxic mold)-containing materials, urea formaldehyde foam insulation, transformers or other equipment that contain polychlorinated biphenyls or radon gas, medical waste, biomedical waste, infectious materials and any other element, compound, mixture, solution or substance that might pose a present or potential hazard to human health or safety or to the environment, including any material regulated by or subject to regulation under any Environmental Law.</w:t>
      </w:r>
    </w:p>
    <w:p>
      <w:pPr>
        <w:spacing w:after="0" w:line="10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Landlord Indemnified Persons</w:t>
      </w:r>
      <w:r>
        <w:rPr>
          <w:rFonts w:ascii="Arial" w:cs="Arial" w:eastAsia="Arial" w:hAnsi="Arial"/>
          <w:sz w:val="17"/>
          <w:szCs w:val="17"/>
          <w:color w:val="auto"/>
        </w:rPr>
        <w:t>” - shall have the meaning set forth in Section 9.1.</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Late Charge</w:t>
      </w:r>
      <w:r>
        <w:rPr>
          <w:rFonts w:ascii="Arial" w:cs="Arial" w:eastAsia="Arial" w:hAnsi="Arial"/>
          <w:sz w:val="17"/>
          <w:szCs w:val="17"/>
          <w:color w:val="auto"/>
        </w:rPr>
        <w:t>” – shall have the meaning set forth in Section 3.3.</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u w:val="single" w:color="auto"/>
          <w:color w:val="auto"/>
        </w:rPr>
        <w:t>Lease Term</w:t>
      </w:r>
      <w:r>
        <w:rPr>
          <w:rFonts w:ascii="Arial" w:cs="Arial" w:eastAsia="Arial" w:hAnsi="Arial"/>
          <w:sz w:val="19"/>
          <w:szCs w:val="19"/>
          <w:color w:val="auto"/>
        </w:rPr>
        <w:t>” - shall mean the entire term of this Lease, including the Primary Term, any Renewal Terms exercised in accordance with this Lease, and any extensions thereof, whether caused holding over on the Leased Premises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600"/>
          </w:cols>
          <w:pgMar w:left="960" w:top="1440" w:right="339" w:bottom="1440" w:gutter="0" w:footer="0" w:header="0"/>
        </w:sectPr>
      </w:pPr>
    </w:p>
    <w:bookmarkStart w:id="132" w:name="page133"/>
    <w:bookmarkEnd w:id="132"/>
    <w:p>
      <w:pPr>
        <w:spacing w:after="0" w:line="99"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1.19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Leased Premises</w:t>
      </w:r>
      <w:r>
        <w:rPr>
          <w:rFonts w:ascii="Arial" w:cs="Arial" w:eastAsia="Arial" w:hAnsi="Arial"/>
          <w:sz w:val="17"/>
          <w:szCs w:val="17"/>
          <w:color w:val="auto"/>
        </w:rPr>
        <w:t>” - shall have the meaning set forth in Recital A of this Lease.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1.20 “</w:t>
      </w:r>
      <w:r>
        <w:rPr>
          <w:rFonts w:ascii="Arial" w:cs="Arial" w:eastAsia="Arial" w:hAnsi="Arial"/>
          <w:sz w:val="19"/>
          <w:szCs w:val="19"/>
          <w:u w:val="single" w:color="auto"/>
          <w:color w:val="auto"/>
        </w:rPr>
        <w:t>Liability Insurance</w:t>
      </w:r>
      <w:r>
        <w:rPr>
          <w:rFonts w:ascii="Arial" w:cs="Arial" w:eastAsia="Arial" w:hAnsi="Arial"/>
          <w:sz w:val="19"/>
          <w:szCs w:val="19"/>
          <w:color w:val="auto"/>
        </w:rPr>
        <w:t>” - shall mean (a) a public liability insurance policy, with comprehensive liability insurance, including a contractual liability endorsement against bodily injury liability and (b) a property damage liability insurance policy, with a combined single limit of not less than $1,000,000 per accident or occurrence insuring against any and all liability of the insured with respect to the Leased Premises or arising out of the maintenance, use or occupancy thereof.</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1.21 “</w:t>
      </w:r>
      <w:r>
        <w:rPr>
          <w:rFonts w:ascii="Arial" w:cs="Arial" w:eastAsia="Arial" w:hAnsi="Arial"/>
          <w:sz w:val="19"/>
          <w:szCs w:val="19"/>
          <w:u w:val="single" w:color="auto"/>
          <w:color w:val="auto"/>
        </w:rPr>
        <w:t>Liens</w:t>
      </w:r>
      <w:r>
        <w:rPr>
          <w:rFonts w:ascii="Arial" w:cs="Arial" w:eastAsia="Arial" w:hAnsi="Arial"/>
          <w:sz w:val="19"/>
          <w:szCs w:val="19"/>
          <w:color w:val="auto"/>
        </w:rPr>
        <w:t>” - shall mean, with respect to any asset, any mortgage, deed of trust, title defect, lien, pledge, security interest, hypothecation, lease, restriction, encumbrance or charge of any kind in respect of such asset.</w:t>
      </w:r>
    </w:p>
    <w:p>
      <w:pPr>
        <w:spacing w:after="0" w:line="9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1.22 “</w:t>
      </w:r>
      <w:r>
        <w:rPr>
          <w:rFonts w:ascii="Arial" w:cs="Arial" w:eastAsia="Arial" w:hAnsi="Arial"/>
          <w:sz w:val="19"/>
          <w:szCs w:val="19"/>
          <w:u w:val="single" w:color="auto"/>
          <w:color w:val="auto"/>
        </w:rPr>
        <w:t>Losses</w:t>
      </w:r>
      <w:r>
        <w:rPr>
          <w:rFonts w:ascii="Arial" w:cs="Arial" w:eastAsia="Arial" w:hAnsi="Arial"/>
          <w:sz w:val="19"/>
          <w:szCs w:val="19"/>
          <w:color w:val="auto"/>
        </w:rPr>
        <w:t>” - shall mean all injuries, losses, expenses, fees, penalties, demands, claims, actions, causes of action, judgments, assessments, damages, obligations, liabilities and reasonable costs, including all costs incurred in connection with any claim for indemnification hereunder (</w:t>
      </w:r>
      <w:r>
        <w:rPr>
          <w:rFonts w:ascii="Arial" w:cs="Arial" w:eastAsia="Arial" w:hAnsi="Arial"/>
          <w:sz w:val="19"/>
          <w:szCs w:val="19"/>
          <w:u w:val="single" w:color="auto"/>
          <w:color w:val="auto"/>
        </w:rPr>
        <w:t>e.g.</w:t>
      </w:r>
      <w:r>
        <w:rPr>
          <w:rFonts w:ascii="Arial" w:cs="Arial" w:eastAsia="Arial" w:hAnsi="Arial"/>
          <w:sz w:val="19"/>
          <w:szCs w:val="19"/>
          <w:color w:val="auto"/>
        </w:rPr>
        <w:t>, reasonable legal fees, accounting fees, and all other costs of investigation), of every nature and description.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Major Repair</w:t>
      </w:r>
      <w:r>
        <w:rPr>
          <w:rFonts w:ascii="Arial" w:cs="Arial" w:eastAsia="Arial" w:hAnsi="Arial"/>
          <w:sz w:val="18"/>
          <w:szCs w:val="18"/>
          <w:color w:val="auto"/>
        </w:rPr>
        <w:t>” - shall mean (a) any needed repair or replacement to the roof, foundation or structural integrity of any of the buildings or improvements to the Leased Premises necessary to maintain such buildings and improvements in a safe condition fit for occupancy or prohibit excess moisture from entering the buildings, (b) any needed repair or replacement of the HVAC system, septic system, electrical systems and wiring and sewer system which service the Leased Premises, and (c) any necessary repairs or replacements to the Leased Premises occasioned by, or attributable to, a single incident or occurrence, or series of incidents which are part of a single occurrence, in which the cost of the necessary repairs or replacements are in excess of $100,000.</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1.24 “</w:t>
      </w:r>
      <w:r>
        <w:rPr>
          <w:rFonts w:ascii="Arial" w:cs="Arial" w:eastAsia="Arial" w:hAnsi="Arial"/>
          <w:sz w:val="19"/>
          <w:szCs w:val="19"/>
          <w:u w:val="single" w:color="auto"/>
          <w:color w:val="auto"/>
        </w:rPr>
        <w:t>Permitted Liens</w:t>
      </w:r>
      <w:r>
        <w:rPr>
          <w:rFonts w:ascii="Arial" w:cs="Arial" w:eastAsia="Arial" w:hAnsi="Arial"/>
          <w:sz w:val="19"/>
          <w:szCs w:val="19"/>
          <w:color w:val="auto"/>
        </w:rPr>
        <w:t>” - shall mean (a) Liens for taxes or governmental assessments, charges or claims the payment of which is not yet due; (b) Liens of carriers, warehousemen, mechanics, materialmen and other similar Persons and other Liens imposed by applicable law incurred in the ordinary course of business for sums not yet delinquent; and (c) Liens relating to deposits made in the ordinary course of business in connection with workers’ compensation, unemployment insurance and other types of social security or to secure the performance of trade contracts or other similar agreements.</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Permitted Exceptions</w:t>
      </w:r>
      <w:r>
        <w:rPr>
          <w:rFonts w:ascii="Arial" w:cs="Arial" w:eastAsia="Arial" w:hAnsi="Arial"/>
          <w:sz w:val="17"/>
          <w:szCs w:val="17"/>
          <w:color w:val="auto"/>
        </w:rPr>
        <w:t>” – shall have the meaning set forth in Section 2.1.</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1.26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Permitted Use</w:t>
      </w:r>
      <w:r>
        <w:rPr>
          <w:rFonts w:ascii="Arial" w:cs="Arial" w:eastAsia="Arial" w:hAnsi="Arial"/>
          <w:sz w:val="17"/>
          <w:szCs w:val="17"/>
          <w:color w:val="auto"/>
        </w:rPr>
        <w:t>” - shall have the meaning set forth in Section 5.1.</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1.27 “</w:t>
      </w:r>
      <w:r>
        <w:rPr>
          <w:rFonts w:ascii="Arial" w:cs="Arial" w:eastAsia="Arial" w:hAnsi="Arial"/>
          <w:sz w:val="19"/>
          <w:szCs w:val="19"/>
          <w:u w:val="single" w:color="auto"/>
          <w:color w:val="auto"/>
        </w:rPr>
        <w:t>Person</w:t>
      </w:r>
      <w:r>
        <w:rPr>
          <w:rFonts w:ascii="Arial" w:cs="Arial" w:eastAsia="Arial" w:hAnsi="Arial"/>
          <w:sz w:val="19"/>
          <w:szCs w:val="19"/>
          <w:color w:val="auto"/>
        </w:rPr>
        <w:t>” - shall mean any individual, corporation, partnership, association, limited liability company, joint venture, trust or other entity, including a Governmental Authority.</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u w:val="single" w:color="auto"/>
          <w:color w:val="auto"/>
        </w:rPr>
        <w:t>Personal Property and Trade Fixtures</w:t>
      </w:r>
      <w:r>
        <w:rPr>
          <w:rFonts w:ascii="Arial" w:cs="Arial" w:eastAsia="Arial" w:hAnsi="Arial"/>
          <w:sz w:val="19"/>
          <w:szCs w:val="19"/>
          <w:color w:val="auto"/>
        </w:rPr>
        <w:t>” - shall mean any personal property, trade fixtures, and equipment, (i) belonging to Tenant and located on the Leased Premises prior to the commencement of the Primary Term, or (ii) brought onto or installed on or in the Leased Premises by Tenant, whether as part of a Tenant Addition or otherwise.</w:t>
      </w:r>
    </w:p>
    <w:p>
      <w:pPr>
        <w:spacing w:after="0" w:line="1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u w:val="single" w:color="auto"/>
          <w:color w:val="auto"/>
        </w:rPr>
        <w:t>Primary Term</w:t>
      </w:r>
      <w:r>
        <w:rPr>
          <w:rFonts w:ascii="Arial" w:cs="Arial" w:eastAsia="Arial" w:hAnsi="Arial"/>
          <w:sz w:val="19"/>
          <w:szCs w:val="19"/>
          <w:color w:val="auto"/>
        </w:rPr>
        <w:t>” – shall mean a period beginning on the Commencement Date and ending at 11:59 p.m. on the day prior to the fifteen (15) month anniversary of the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600"/>
          </w:cols>
          <w:pgMar w:left="960" w:top="1440" w:right="339" w:bottom="1440" w:gutter="0" w:footer="0" w:header="0"/>
        </w:sectPr>
      </w:pPr>
    </w:p>
    <w:bookmarkStart w:id="133" w:name="page134"/>
    <w:bookmarkEnd w:id="133"/>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u w:val="single" w:color="auto"/>
          <w:color w:val="auto"/>
        </w:rPr>
        <w:t>Property Insurance</w:t>
      </w:r>
      <w:r>
        <w:rPr>
          <w:rFonts w:ascii="Arial" w:cs="Arial" w:eastAsia="Arial" w:hAnsi="Arial"/>
          <w:sz w:val="19"/>
          <w:szCs w:val="19"/>
          <w:color w:val="auto"/>
        </w:rPr>
        <w:t>” - shall mean a policy insuring the building(s) and other improvements located on the Leased Premises against loss or damage by fire, with an extended all-risk coverage endorsement in the amount of $3,000,000.</w:t>
      </w:r>
    </w:p>
    <w:p>
      <w:pPr>
        <w:spacing w:after="0" w:line="9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1.31 “</w:t>
      </w:r>
      <w:r>
        <w:rPr>
          <w:rFonts w:ascii="Arial" w:cs="Arial" w:eastAsia="Arial" w:hAnsi="Arial"/>
          <w:sz w:val="19"/>
          <w:szCs w:val="19"/>
          <w:u w:val="single" w:color="auto"/>
          <w:color w:val="auto"/>
        </w:rPr>
        <w:t>Renewal Term</w:t>
      </w:r>
      <w:r>
        <w:rPr>
          <w:rFonts w:ascii="Arial" w:cs="Arial" w:eastAsia="Arial" w:hAnsi="Arial"/>
          <w:sz w:val="19"/>
          <w:szCs w:val="19"/>
          <w:color w:val="auto"/>
        </w:rPr>
        <w:t>” - shall mean the three (3) three (3) month periods beginning at the end of the Primary Term or the then current Renewal Term, as applicable, and ending at 11:59 p.m. on the date that is three (3) months after the end of the Primary Term or the then current Renewal Term, as applicable.</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1.32 “</w:t>
      </w:r>
      <w:r>
        <w:rPr>
          <w:rFonts w:ascii="Arial" w:cs="Arial" w:eastAsia="Arial" w:hAnsi="Arial"/>
          <w:sz w:val="19"/>
          <w:szCs w:val="19"/>
          <w:u w:val="single" w:color="auto"/>
          <w:color w:val="auto"/>
        </w:rPr>
        <w:t>Rent</w:t>
      </w:r>
      <w:r>
        <w:rPr>
          <w:rFonts w:ascii="Arial" w:cs="Arial" w:eastAsia="Arial" w:hAnsi="Arial"/>
          <w:sz w:val="19"/>
          <w:szCs w:val="19"/>
          <w:color w:val="auto"/>
        </w:rPr>
        <w:t>” - shall mean all sums payable by Tenant to Landlord pursuant to ARTICLE III of this Lease, if any, as well as all other amounts as are required to be paid pursuant to the terms of this Lease.</w:t>
      </w:r>
    </w:p>
    <w:p>
      <w:pPr>
        <w:spacing w:after="0" w:line="92"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Required Major Repair</w:t>
      </w:r>
      <w:r>
        <w:rPr>
          <w:rFonts w:ascii="Arial" w:cs="Arial" w:eastAsia="Arial" w:hAnsi="Arial"/>
          <w:sz w:val="17"/>
          <w:szCs w:val="17"/>
          <w:color w:val="auto"/>
        </w:rPr>
        <w:t>” – shall have the meaning set forth in Section 12.2.2.</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Routine Maintenance</w:t>
      </w:r>
      <w:r>
        <w:rPr>
          <w:rFonts w:ascii="Arial" w:cs="Arial" w:eastAsia="Arial" w:hAnsi="Arial"/>
          <w:sz w:val="18"/>
          <w:szCs w:val="18"/>
          <w:color w:val="auto"/>
        </w:rPr>
        <w:t>” - shall mean normal repair and maintenance of the Leased Premises, including without limitation, repair and maintenance of: (a) lighting and plumbing; (b) electrical, mechanical, and electromotive equipment and fixtures; (c) signs, placards, decorations, and advertising media of any type; (d) interior walls and ceilings (including painting or other treatments) and floors (including floor coverings); and (e) utility ducts, conduits, pipes and wiring. Provided, the term “Routine Maintenance” shall not include any necessary repair or maintenance to the extent such repair or maintenance constitutes a Major Repair.</w:t>
      </w:r>
    </w:p>
    <w:p>
      <w:pPr>
        <w:spacing w:after="0" w:line="11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1.35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Signage</w:t>
      </w:r>
      <w:r>
        <w:rPr>
          <w:rFonts w:ascii="Arial" w:cs="Arial" w:eastAsia="Arial" w:hAnsi="Arial"/>
          <w:sz w:val="17"/>
          <w:szCs w:val="17"/>
          <w:color w:val="auto"/>
        </w:rPr>
        <w:t>” – shall have the meaning set forth in Section 14.11.</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1.36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 shall have the meaning set forth in Section 12.3.</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1.37 “</w:t>
      </w:r>
      <w:r>
        <w:rPr>
          <w:rFonts w:ascii="Arial" w:cs="Arial" w:eastAsia="Arial" w:hAnsi="Arial"/>
          <w:sz w:val="19"/>
          <w:szCs w:val="19"/>
          <w:u w:val="single" w:color="auto"/>
          <w:color w:val="auto"/>
        </w:rPr>
        <w:t>Tenant Additions</w:t>
      </w:r>
      <w:r>
        <w:rPr>
          <w:rFonts w:ascii="Arial" w:cs="Arial" w:eastAsia="Arial" w:hAnsi="Arial"/>
          <w:sz w:val="19"/>
          <w:szCs w:val="19"/>
          <w:color w:val="auto"/>
        </w:rPr>
        <w:t>” - shall mean any structural additions, improvements, alterations, or changes made by Tenant in or to the building or real estate, of which the Leased Premises form a part.</w:t>
      </w:r>
    </w:p>
    <w:p>
      <w:pPr>
        <w:spacing w:after="0" w:line="86"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II.</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Lease of Premises; Lease Term</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Grant of Lease</w:t>
      </w:r>
      <w:r>
        <w:rPr>
          <w:rFonts w:ascii="Arial" w:cs="Arial" w:eastAsia="Arial" w:hAnsi="Arial"/>
          <w:sz w:val="17"/>
          <w:szCs w:val="17"/>
          <w:color w:val="auto"/>
        </w:rPr>
        <w:t>. In consideration of the rents and covenants herein stipulated to be paid and performed, Landlord hereby demises and lets to Tenant, and Tenant hereby lets from Landlord, for the term herein described, the Leased Premises. The Leased Premises are demised and let subject to (a) the rights of any parties in possession and the existing state of the title as of the commencement of the Term of this Lease (the “</w:t>
      </w:r>
      <w:r>
        <w:rPr>
          <w:rFonts w:ascii="Arial" w:cs="Arial" w:eastAsia="Arial" w:hAnsi="Arial"/>
          <w:sz w:val="17"/>
          <w:szCs w:val="17"/>
          <w:u w:val="single" w:color="auto"/>
          <w:color w:val="auto"/>
        </w:rPr>
        <w:t>Permitted Exceptions</w:t>
      </w:r>
      <w:r>
        <w:rPr>
          <w:rFonts w:ascii="Arial" w:cs="Arial" w:eastAsia="Arial" w:hAnsi="Arial"/>
          <w:sz w:val="17"/>
          <w:szCs w:val="17"/>
          <w:color w:val="auto"/>
        </w:rPr>
        <w:t xml:space="preserve">”), (b) any state of facts which an accurate survey or physical inspection thereof might show, (c) all zoning regulations, restrictions, rules and ordinances, building restrictions and other laws and regulations now in effect or hereafter adopted by any governmental authority having jurisdiction, and (d) the condition of any buildings, structures and other improvements located thereon, as of the commencement of the Term of this Lease, without representation or warranty by Landlord, express or implied. </w:t>
      </w:r>
      <w:r>
        <w:rPr>
          <w:rFonts w:ascii="Arial" w:cs="Arial" w:eastAsia="Arial" w:hAnsi="Arial"/>
          <w:sz w:val="17"/>
          <w:szCs w:val="17"/>
          <w:b w:val="1"/>
          <w:bCs w:val="1"/>
          <w:color w:val="auto"/>
        </w:rPr>
        <w:t xml:space="preserve">Without limiting the foregoing, Tenant accepts the Leased Premises in “AS IS” condition, with all faults. </w:t>
      </w:r>
      <w:r>
        <w:rPr>
          <w:rFonts w:ascii="Arial" w:cs="Arial" w:eastAsia="Arial" w:hAnsi="Arial"/>
          <w:sz w:val="17"/>
          <w:szCs w:val="17"/>
          <w:color w:val="auto"/>
        </w:rPr>
        <w:t>Tenant represents that 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has been in possession of the Leased Premises prior to the commencement of the Term of this Lease, has thoroughly familiarized itself with the Leased Premises in all respects, and has examined the title to, zoning and other restrictions applicable to and the condition of the Leased Premises and has found the same to be satisfactory to it. </w:t>
      </w:r>
      <w:r>
        <w:rPr>
          <w:rFonts w:ascii="Arial" w:cs="Arial" w:eastAsia="Arial" w:hAnsi="Arial"/>
          <w:sz w:val="17"/>
          <w:szCs w:val="17"/>
          <w:b w:val="1"/>
          <w:bCs w:val="1"/>
          <w:color w:val="auto"/>
        </w:rPr>
        <w:t>To the maximum extent permitted by law, Tenant waives (i) any</w:t>
      </w:r>
      <w:r>
        <w:rPr>
          <w:rFonts w:ascii="Arial" w:cs="Arial" w:eastAsia="Arial" w:hAnsi="Arial"/>
          <w:sz w:val="17"/>
          <w:szCs w:val="17"/>
          <w:color w:val="auto"/>
        </w:rPr>
        <w:t xml:space="preserve"> </w:t>
      </w:r>
      <w:r>
        <w:rPr>
          <w:rFonts w:ascii="Arial" w:cs="Arial" w:eastAsia="Arial" w:hAnsi="Arial"/>
          <w:sz w:val="17"/>
          <w:szCs w:val="17"/>
          <w:b w:val="1"/>
          <w:bCs w:val="1"/>
          <w:color w:val="auto"/>
        </w:rPr>
        <w:t>implied warranty of suitability OF the Leased Premises, and (ii) any implied warranty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600"/>
          </w:cols>
          <w:pgMar w:left="960" w:top="1440" w:right="339" w:bottom="1440" w:gutter="0" w:footer="0" w:header="0"/>
        </w:sectPr>
      </w:pPr>
    </w:p>
    <w:bookmarkStart w:id="134" w:name="page135"/>
    <w:bookmarkEnd w:id="134"/>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fitness for a particular purpose or merchantability or design or quality of the Leased Premises.</w:t>
      </w:r>
    </w:p>
    <w:p>
      <w:pPr>
        <w:spacing w:after="0" w:line="200" w:lineRule="exact"/>
        <w:rPr>
          <w:sz w:val="20"/>
          <w:szCs w:val="20"/>
          <w:color w:val="auto"/>
        </w:rPr>
      </w:pPr>
    </w:p>
    <w:p>
      <w:pPr>
        <w:spacing w:after="0" w:line="37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Lease Term</w:t>
      </w:r>
      <w:r>
        <w:rPr>
          <w:rFonts w:ascii="Arial" w:cs="Arial" w:eastAsia="Arial" w:hAnsi="Arial"/>
          <w:sz w:val="19"/>
          <w:szCs w:val="19"/>
          <w:color w:val="auto"/>
        </w:rPr>
        <w:t>. This Lease shall commence on the Commencement Date and shall continue for the Primary Term, unless sooner terminated pursuant to the terms of this Lease.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Option to Renew</w:t>
      </w:r>
      <w:r>
        <w:rPr>
          <w:rFonts w:ascii="Arial" w:cs="Arial" w:eastAsia="Arial" w:hAnsi="Arial"/>
          <w:sz w:val="19"/>
          <w:szCs w:val="19"/>
          <w:color w:val="auto"/>
        </w:rPr>
        <w:t>. Tenant shall have the right, at its option, to extend the Lease Term for the Renewal Terms, on the same conditions and terms as this Lease. The Base Rent for the Renewal Term shall be the same monthly rate as the Base Rent of the expiring Lease Term. To exercise its option to renew, Tenant shall give Landlord notice of such election at least thirty (30) days before the expiration of the Primary Term or the then current Renewal Term, as applicable.</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Surrender of Leased Premises</w:t>
      </w:r>
      <w:r>
        <w:rPr>
          <w:rFonts w:ascii="Arial" w:cs="Arial" w:eastAsia="Arial" w:hAnsi="Arial"/>
          <w:sz w:val="17"/>
          <w:szCs w:val="17"/>
          <w:color w:val="auto"/>
        </w:rPr>
        <w:t>. Upon the expiration or other termination of the Lease Term, Tenant shall quit and surrender the Leased Premises to Landlord in good condition, ordinary wear and tear, damage by casualty and permitted Tenant Additions excepted. Prior to or at the end of the Lease Term, Tenant shall remove any of its Personal Property and Trade Fixtures. Tenant shall be responsible for and repair any damage caused by the removal of such Personal Property and Trade Fixtures. Any such Personal Property or Trade Fixtures not so removed shall, at Landlord's election, be deemed abandoned by Tenant and may be disposed of by Landlord in accordance with California Civil Code Sections 1980 through 1991 and California Code of Civil Procedure Section 1174, or in accordance with any laws or judicial decisions which may supplement or supplant those provisions from time to time.</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Holding Over</w:t>
      </w:r>
      <w:r>
        <w:rPr>
          <w:rFonts w:ascii="Arial" w:cs="Arial" w:eastAsia="Arial" w:hAnsi="Arial"/>
          <w:sz w:val="19"/>
          <w:szCs w:val="19"/>
          <w:color w:val="auto"/>
        </w:rPr>
        <w:t>. If Tenant shall fail to vacate and surrender the Leased Premises in accordance with the terms of this Lease upon the expiration or earlier termination of this Lease, then until such time as Tenant so vacates and surrenders the Leased Premises, Tenant shall pay Base Rent at a rate of one hundred seventy-five percent (175%) of the Base Rent for the last year of the Lease Term. Nothing in the previous sentence shall be construed or operate as a waiver of Landlord's right of re-entry or any other right of Landlord resulting from such holding over.</w:t>
      </w:r>
    </w:p>
    <w:p>
      <w:pPr>
        <w:spacing w:after="0" w:line="11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8"/>
          <w:szCs w:val="18"/>
          <w:u w:val="single" w:color="auto"/>
          <w:color w:val="auto"/>
        </w:rPr>
        <w:t>Option to Acquire Fabrication Building</w:t>
      </w:r>
      <w:r>
        <w:rPr>
          <w:rFonts w:ascii="Arial" w:cs="Arial" w:eastAsia="Arial" w:hAnsi="Arial"/>
          <w:sz w:val="18"/>
          <w:szCs w:val="18"/>
          <w:color w:val="auto"/>
        </w:rPr>
        <w:t>.</w:t>
      </w:r>
    </w:p>
    <w:p>
      <w:pPr>
        <w:spacing w:after="0" w:line="175" w:lineRule="exact"/>
        <w:rPr>
          <w:sz w:val="20"/>
          <w:szCs w:val="20"/>
          <w:color w:val="auto"/>
        </w:rPr>
      </w:pPr>
    </w:p>
    <w:p>
      <w:pPr>
        <w:jc w:val="both"/>
        <w:ind w:left="620"/>
        <w:spacing w:after="0" w:line="274" w:lineRule="auto"/>
        <w:rPr>
          <w:sz w:val="20"/>
          <w:szCs w:val="20"/>
          <w:color w:val="auto"/>
        </w:rPr>
      </w:pPr>
      <w:r>
        <w:rPr>
          <w:rFonts w:ascii="Arial" w:cs="Arial" w:eastAsia="Arial" w:hAnsi="Arial"/>
          <w:sz w:val="19"/>
          <w:szCs w:val="19"/>
          <w:color w:val="auto"/>
        </w:rPr>
        <w:t xml:space="preserve">2.6.1 Subject to the terms of this </w:t>
      </w:r>
      <w:r>
        <w:rPr>
          <w:rFonts w:ascii="Arial" w:cs="Arial" w:eastAsia="Arial" w:hAnsi="Arial"/>
          <w:sz w:val="19"/>
          <w:szCs w:val="19"/>
          <w:u w:val="single" w:color="auto"/>
          <w:color w:val="auto"/>
        </w:rPr>
        <w:t>Section 2.6</w:t>
      </w:r>
      <w:r>
        <w:rPr>
          <w:rFonts w:ascii="Arial" w:cs="Arial" w:eastAsia="Arial" w:hAnsi="Arial"/>
          <w:sz w:val="19"/>
          <w:szCs w:val="19"/>
          <w:color w:val="auto"/>
        </w:rPr>
        <w:t>, Landlord hereby grants Tenant the option to disassemble the Fabrication Building and acquire the building materials used to construct the Fabrication Building (the “</w:t>
      </w:r>
      <w:r>
        <w:rPr>
          <w:rFonts w:ascii="Arial" w:cs="Arial" w:eastAsia="Arial" w:hAnsi="Arial"/>
          <w:sz w:val="19"/>
          <w:szCs w:val="19"/>
          <w:u w:val="single" w:color="auto"/>
          <w:color w:val="auto"/>
        </w:rPr>
        <w:t>Disassembly Option</w:t>
      </w:r>
      <w:r>
        <w:rPr>
          <w:rFonts w:ascii="Arial" w:cs="Arial" w:eastAsia="Arial" w:hAnsi="Arial"/>
          <w:sz w:val="19"/>
          <w:szCs w:val="19"/>
          <w:color w:val="auto"/>
        </w:rPr>
        <w:t>”).</w:t>
      </w:r>
    </w:p>
    <w:p>
      <w:pPr>
        <w:spacing w:after="0" w:line="117" w:lineRule="exact"/>
        <w:rPr>
          <w:sz w:val="20"/>
          <w:szCs w:val="20"/>
          <w:color w:val="auto"/>
        </w:rPr>
      </w:pPr>
    </w:p>
    <w:p>
      <w:pPr>
        <w:jc w:val="both"/>
        <w:ind w:left="620"/>
        <w:spacing w:after="0" w:line="264" w:lineRule="auto"/>
        <w:rPr>
          <w:sz w:val="20"/>
          <w:szCs w:val="20"/>
          <w:color w:val="auto"/>
        </w:rPr>
      </w:pPr>
      <w:r>
        <w:rPr>
          <w:rFonts w:ascii="Arial" w:cs="Arial" w:eastAsia="Arial" w:hAnsi="Arial"/>
          <w:sz w:val="19"/>
          <w:szCs w:val="19"/>
          <w:color w:val="auto"/>
        </w:rPr>
        <w:t>2.6.2 Tenant may exercise the Disassembly Option by providing notice to Landlord at least three (3) months prior to the expiration of the Lease Term. If Tenant exercises the Disassembly Option, Tenant shall be responsible for all cost and expense associated with disassembling the Fabrication Building and transporting the building materials used to constructed the Fabrication Building from the Leased Premises.</w:t>
      </w:r>
    </w:p>
    <w:p>
      <w:pPr>
        <w:spacing w:after="0" w:line="114" w:lineRule="exact"/>
        <w:rPr>
          <w:sz w:val="20"/>
          <w:szCs w:val="20"/>
          <w:color w:val="auto"/>
        </w:rPr>
      </w:pPr>
    </w:p>
    <w:p>
      <w:pPr>
        <w:jc w:val="both"/>
        <w:ind w:left="620"/>
        <w:spacing w:after="0" w:line="274" w:lineRule="auto"/>
        <w:rPr>
          <w:sz w:val="20"/>
          <w:szCs w:val="20"/>
          <w:color w:val="auto"/>
        </w:rPr>
      </w:pPr>
      <w:r>
        <w:rPr>
          <w:rFonts w:ascii="Arial" w:cs="Arial" w:eastAsia="Arial" w:hAnsi="Arial"/>
          <w:sz w:val="19"/>
          <w:szCs w:val="19"/>
          <w:color w:val="auto"/>
        </w:rPr>
        <w:t>2.6.3 Upon completion of such disassembly and removal, Landlord shall be deemed to have quitclaimed the building materials used to construct the Fabrication Building in as-is, where-is condition, without representation or warranty, but in any event free of any of Landlord’s financing liens secured by the Premises.</w:t>
      </w:r>
    </w:p>
    <w:p>
      <w:pPr>
        <w:spacing w:after="0" w:line="104" w:lineRule="exact"/>
        <w:rPr>
          <w:sz w:val="20"/>
          <w:szCs w:val="20"/>
          <w:color w:val="auto"/>
        </w:rPr>
      </w:pPr>
    </w:p>
    <w:p>
      <w:pPr>
        <w:jc w:val="both"/>
        <w:ind w:left="620"/>
        <w:spacing w:after="0" w:line="288" w:lineRule="auto"/>
        <w:rPr>
          <w:sz w:val="20"/>
          <w:szCs w:val="20"/>
          <w:color w:val="auto"/>
        </w:rPr>
      </w:pPr>
      <w:r>
        <w:rPr>
          <w:rFonts w:ascii="Arial" w:cs="Arial" w:eastAsia="Arial" w:hAnsi="Arial"/>
          <w:sz w:val="19"/>
          <w:szCs w:val="19"/>
          <w:color w:val="auto"/>
        </w:rPr>
        <w:t>2.6.4 If Tenant exercises the Disassembly Option, Tenant shall complete the disassembly of the Fabrication Building and the removal of the building materials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600"/>
          </w:cols>
          <w:pgMar w:left="960" w:top="1440" w:right="339" w:bottom="1440" w:gutter="0" w:footer="0" w:header="0"/>
        </w:sectPr>
      </w:pPr>
    </w:p>
    <w:bookmarkStart w:id="135" w:name="page136"/>
    <w:bookmarkEnd w:id="135"/>
    <w:p>
      <w:pPr>
        <w:spacing w:after="0" w:line="99" w:lineRule="exact"/>
        <w:rPr>
          <w:sz w:val="20"/>
          <w:szCs w:val="20"/>
          <w:color w:val="auto"/>
        </w:rPr>
      </w:pPr>
    </w:p>
    <w:p>
      <w:pPr>
        <w:jc w:val="center"/>
        <w:ind w:right="1380"/>
        <w:spacing w:after="0"/>
        <w:rPr>
          <w:sz w:val="20"/>
          <w:szCs w:val="20"/>
          <w:color w:val="auto"/>
        </w:rPr>
      </w:pPr>
      <w:r>
        <w:rPr>
          <w:rFonts w:ascii="Arial" w:cs="Arial" w:eastAsia="Arial" w:hAnsi="Arial"/>
          <w:sz w:val="19"/>
          <w:szCs w:val="19"/>
          <w:color w:val="auto"/>
        </w:rPr>
        <w:t>construction of the Fabrication Building from the Leased Premises by the expiration of the Lease Term.</w:t>
      </w:r>
    </w:p>
    <w:p>
      <w:pPr>
        <w:spacing w:after="0" w:line="169"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III.</w:t>
      </w:r>
    </w:p>
    <w:p>
      <w:pPr>
        <w:spacing w:after="0" w:line="162"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Obligation to Pay Rent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Obligation and Time of Payment</w:t>
      </w:r>
      <w:r>
        <w:rPr>
          <w:rFonts w:ascii="Arial" w:cs="Arial" w:eastAsia="Arial" w:hAnsi="Arial"/>
          <w:sz w:val="19"/>
          <w:szCs w:val="19"/>
          <w:color w:val="auto"/>
        </w:rPr>
        <w:t>. The monthly Rent for the Lease Term shall be $118,283.00 (the “</w:t>
      </w:r>
      <w:r>
        <w:rPr>
          <w:rFonts w:ascii="Arial" w:cs="Arial" w:eastAsia="Arial" w:hAnsi="Arial"/>
          <w:sz w:val="19"/>
          <w:szCs w:val="19"/>
          <w:u w:val="single" w:color="auto"/>
          <w:color w:val="auto"/>
        </w:rPr>
        <w:t>Base Rent</w:t>
      </w:r>
      <w:r>
        <w:rPr>
          <w:rFonts w:ascii="Arial" w:cs="Arial" w:eastAsia="Arial" w:hAnsi="Arial"/>
          <w:sz w:val="19"/>
          <w:szCs w:val="19"/>
          <w:color w:val="auto"/>
        </w:rPr>
        <w:t>”). The Base Rent shall increase by three percent (3%) on the thirteenth month of the Lease Term. Tenant shall pay the Base Rent in advance on the first day of each calendar month during the Lease Term. Landlord directs Tenant to make all Rent and other payments due Landlord under this Lease to Landlord at the address for Landlord set forth in Section 14.12. The monthly installment of Rent payable with respect to the first month of this Lease shall be paid on the Commencement Date.</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Fractional Month</w:t>
      </w:r>
      <w:r>
        <w:rPr>
          <w:rFonts w:ascii="Arial" w:cs="Arial" w:eastAsia="Arial" w:hAnsi="Arial"/>
          <w:sz w:val="18"/>
          <w:szCs w:val="18"/>
          <w:color w:val="auto"/>
        </w:rPr>
        <w:t>. If the Lease Term commences or ends on a day other than the first day of a calendar month, the Rent payable for such calendar month shall be the amount payable for a full month times a fraction the numerator of which is the number of days of the Lease Term during such month and the denominator of which is the total number of days in such month.</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Additional Rent; Late Charges</w:t>
      </w:r>
      <w:r>
        <w:rPr>
          <w:rFonts w:ascii="Arial" w:cs="Arial" w:eastAsia="Arial" w:hAnsi="Arial"/>
          <w:sz w:val="17"/>
          <w:szCs w:val="17"/>
          <w:color w:val="auto"/>
        </w:rPr>
        <w:t>. Tenant covenants that all other amounts, liabilities and obligations which Tenant assumes or agrees to pay or discharge pursuant to this Lease, together with every fine, penalty, interest and cost which may be added for nonpayment or late payment thereof or of Base Rent, shall constitute additional rent hereunder (herein called “</w:t>
      </w:r>
      <w:r>
        <w:rPr>
          <w:rFonts w:ascii="Arial" w:cs="Arial" w:eastAsia="Arial" w:hAnsi="Arial"/>
          <w:sz w:val="17"/>
          <w:szCs w:val="17"/>
          <w:u w:val="single" w:color="auto"/>
          <w:color w:val="auto"/>
        </w:rPr>
        <w:t>Additional Rent</w:t>
      </w:r>
      <w:r>
        <w:rPr>
          <w:rFonts w:ascii="Arial" w:cs="Arial" w:eastAsia="Arial" w:hAnsi="Arial"/>
          <w:sz w:val="17"/>
          <w:szCs w:val="17"/>
          <w:color w:val="auto"/>
        </w:rPr>
        <w:t>”). The Base Rent and Additional Rent shall constitute “Rent” within the meaning of California Civil Code Section 1951(a). In the event of any failure by Tenant to pay or discharge any Additional Rent, Landlord shall have all rights, powers and remedies provided herein or by law in the case of nonpayment of Base Rent. Tenant also covenants to pay to Landlord on demand an amount (the “</w:t>
      </w:r>
      <w:r>
        <w:rPr>
          <w:rFonts w:ascii="Arial" w:cs="Arial" w:eastAsia="Arial" w:hAnsi="Arial"/>
          <w:sz w:val="17"/>
          <w:szCs w:val="17"/>
          <w:u w:val="single" w:color="auto"/>
          <w:color w:val="auto"/>
        </w:rPr>
        <w:t>Late Charge</w:t>
      </w:r>
      <w:r>
        <w:rPr>
          <w:rFonts w:ascii="Arial" w:cs="Arial" w:eastAsia="Arial" w:hAnsi="Arial"/>
          <w:sz w:val="17"/>
          <w:szCs w:val="17"/>
          <w:color w:val="auto"/>
        </w:rPr>
        <w:t>”) equal to five percent (5%) of the payment amount then due on all installments of Base Rent or Additional Rent which are more than ten (10) days overdue, to cover Landlord's administrative expenses. The actual amount of Landlord's administrative expenses arising by reason of a late payment will be difficult to ascertain, and the parties agree that the Late Charge as calculated above is a reasonable estimate thereof.</w:t>
      </w:r>
    </w:p>
    <w:p>
      <w:pPr>
        <w:spacing w:after="0" w:line="200" w:lineRule="exact"/>
        <w:rPr>
          <w:sz w:val="20"/>
          <w:szCs w:val="20"/>
          <w:color w:val="auto"/>
        </w:rPr>
      </w:pPr>
    </w:p>
    <w:p>
      <w:pPr>
        <w:spacing w:after="0" w:line="298"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IV.</w:t>
      </w:r>
    </w:p>
    <w:p>
      <w:pPr>
        <w:spacing w:after="0" w:line="162"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Representations and Warranties; Covenants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Landlord’s Representations and Warranties</w:t>
      </w:r>
      <w:r>
        <w:rPr>
          <w:rFonts w:ascii="Arial" w:cs="Arial" w:eastAsia="Arial" w:hAnsi="Arial"/>
          <w:sz w:val="19"/>
          <w:szCs w:val="19"/>
          <w:color w:val="auto"/>
        </w:rPr>
        <w:t>. To induce Tenant to enter into this Lease, Landlord represents and warrants to Tenant as follows:</w:t>
      </w:r>
    </w:p>
    <w:p>
      <w:pPr>
        <w:spacing w:after="0" w:line="92" w:lineRule="exact"/>
        <w:rPr>
          <w:sz w:val="20"/>
          <w:szCs w:val="20"/>
          <w:color w:val="auto"/>
        </w:rPr>
      </w:pPr>
    </w:p>
    <w:p>
      <w:pPr>
        <w:jc w:val="both"/>
        <w:ind w:left="620"/>
        <w:spacing w:after="0" w:line="266"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Due Organization; Power and Authority</w:t>
      </w:r>
      <w:r>
        <w:rPr>
          <w:rFonts w:ascii="Arial" w:cs="Arial" w:eastAsia="Arial" w:hAnsi="Arial"/>
          <w:sz w:val="19"/>
          <w:szCs w:val="19"/>
          <w:color w:val="auto"/>
        </w:rPr>
        <w:t>. Landlord is a limited liability company duly organized, validly existing and in good standing under the laws its organization, and has full and requisite limited liability company power and authority to execute and deliver this Lease and to carry out its obligations hereunder.</w:t>
      </w:r>
    </w:p>
    <w:p>
      <w:pPr>
        <w:spacing w:after="0" w:line="126" w:lineRule="exact"/>
        <w:rPr>
          <w:sz w:val="20"/>
          <w:szCs w:val="20"/>
          <w:color w:val="auto"/>
        </w:rPr>
      </w:pPr>
    </w:p>
    <w:p>
      <w:pPr>
        <w:jc w:val="both"/>
        <w:ind w:left="620"/>
        <w:spacing w:after="0" w:line="288"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Authority Relative to this Lease</w:t>
      </w:r>
      <w:r>
        <w:rPr>
          <w:rFonts w:ascii="Arial" w:cs="Arial" w:eastAsia="Arial" w:hAnsi="Arial"/>
          <w:sz w:val="19"/>
          <w:szCs w:val="19"/>
          <w:color w:val="auto"/>
        </w:rPr>
        <w:t>. The execution, delivery, and performance of this Lease by Landlord have been duly and effectively authorized by all necessary action on behalf of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600"/>
          </w:cols>
          <w:pgMar w:left="960" w:top="1440" w:right="339" w:bottom="1440" w:gutter="0" w:footer="0" w:header="0"/>
        </w:sectPr>
      </w:pPr>
    </w:p>
    <w:bookmarkStart w:id="136" w:name="page137"/>
    <w:bookmarkEnd w:id="136"/>
    <w:p>
      <w:pPr>
        <w:spacing w:after="0" w:line="99" w:lineRule="exact"/>
        <w:rPr>
          <w:sz w:val="20"/>
          <w:szCs w:val="20"/>
          <w:color w:val="auto"/>
        </w:rPr>
      </w:pPr>
    </w:p>
    <w:p>
      <w:pPr>
        <w:jc w:val="both"/>
        <w:ind w:left="620"/>
        <w:spacing w:after="0" w:line="28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Enforceability of this Lease</w:t>
      </w:r>
      <w:r>
        <w:rPr>
          <w:rFonts w:ascii="Arial" w:cs="Arial" w:eastAsia="Arial" w:hAnsi="Arial"/>
          <w:sz w:val="18"/>
          <w:szCs w:val="18"/>
          <w:color w:val="auto"/>
        </w:rPr>
        <w:t>. This Lease is, and all instruments and documents executed in connection herewith will be, valid, binding, and enforceable against Landlord in accordance with their respective terms, subject to applicable bankruptcy, reorganization, insolvency, or other similar laws affecting the enforcement of creditors’ rights generally.</w:t>
      </w:r>
    </w:p>
    <w:p>
      <w:pPr>
        <w:spacing w:after="0" w:line="107" w:lineRule="exact"/>
        <w:rPr>
          <w:sz w:val="20"/>
          <w:szCs w:val="20"/>
          <w:color w:val="auto"/>
        </w:rPr>
      </w:pPr>
    </w:p>
    <w:p>
      <w:pPr>
        <w:jc w:val="both"/>
        <w:ind w:left="620"/>
        <w:spacing w:after="0" w:line="264"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this Lease by Landlord does not (a) violate any judicial or governmental decree, order, or judgment; (b) violate any Applicable Law; (c) conflict with the organizational documents of Landlord; or (d) result in a breach of, or constitute a default under, any agreement or instrument to which Landlord is a party or by which it or the Leased Premises is bound.</w:t>
      </w:r>
    </w:p>
    <w:p>
      <w:pPr>
        <w:spacing w:after="0" w:line="114"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Tenant’s Representations and Warranties</w:t>
      </w:r>
      <w:r>
        <w:rPr>
          <w:rFonts w:ascii="Arial" w:cs="Arial" w:eastAsia="Arial" w:hAnsi="Arial"/>
          <w:sz w:val="19"/>
          <w:szCs w:val="19"/>
          <w:color w:val="auto"/>
        </w:rPr>
        <w:t>. To induce Landlord to enter into this Lease, Tenant represents and warrants to Landlord as follows:</w:t>
      </w:r>
    </w:p>
    <w:p>
      <w:pPr>
        <w:spacing w:after="0" w:line="92" w:lineRule="exact"/>
        <w:rPr>
          <w:sz w:val="20"/>
          <w:szCs w:val="20"/>
          <w:color w:val="auto"/>
        </w:rPr>
      </w:pPr>
    </w:p>
    <w:p>
      <w:pPr>
        <w:jc w:val="both"/>
        <w:ind w:left="620"/>
        <w:spacing w:after="0" w:line="274"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u w:val="single" w:color="auto"/>
          <w:color w:val="auto"/>
        </w:rPr>
        <w:t>Due Organization; Power and Authority</w:t>
      </w:r>
      <w:r>
        <w:rPr>
          <w:rFonts w:ascii="Arial" w:cs="Arial" w:eastAsia="Arial" w:hAnsi="Arial"/>
          <w:sz w:val="19"/>
          <w:szCs w:val="19"/>
          <w:color w:val="auto"/>
        </w:rPr>
        <w:t>. Tenant is a corporation duly organized, validly existing and in good standing under the laws of the State of Oklahoma and has full and requisite corporate power and authority to execute and deliver this Lease and to carry out its obligations hereunder.</w:t>
      </w:r>
    </w:p>
    <w:p>
      <w:pPr>
        <w:spacing w:after="0" w:line="104" w:lineRule="exact"/>
        <w:rPr>
          <w:sz w:val="20"/>
          <w:szCs w:val="20"/>
          <w:color w:val="auto"/>
        </w:rPr>
      </w:pPr>
    </w:p>
    <w:p>
      <w:pPr>
        <w:jc w:val="both"/>
        <w:ind w:left="620"/>
        <w:spacing w:after="0" w:line="288"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19"/>
          <w:szCs w:val="19"/>
          <w:u w:val="single" w:color="auto"/>
          <w:color w:val="auto"/>
        </w:rPr>
        <w:t>Authority Relative to this Lease</w:t>
      </w:r>
      <w:r>
        <w:rPr>
          <w:rFonts w:ascii="Arial" w:cs="Arial" w:eastAsia="Arial" w:hAnsi="Arial"/>
          <w:sz w:val="19"/>
          <w:szCs w:val="19"/>
          <w:color w:val="auto"/>
        </w:rPr>
        <w:t>. The execution, delivery, and performance of this Lease by Tenant have been duly and effectively authorized by all necessary corporate action.</w:t>
      </w:r>
    </w:p>
    <w:p>
      <w:pPr>
        <w:spacing w:after="0" w:line="92" w:lineRule="exact"/>
        <w:rPr>
          <w:sz w:val="20"/>
          <w:szCs w:val="20"/>
          <w:color w:val="auto"/>
        </w:rPr>
      </w:pPr>
    </w:p>
    <w:p>
      <w:pPr>
        <w:jc w:val="both"/>
        <w:ind w:left="620"/>
        <w:spacing w:after="0" w:line="274" w:lineRule="auto"/>
        <w:rPr>
          <w:sz w:val="20"/>
          <w:szCs w:val="20"/>
          <w:color w:val="auto"/>
        </w:rPr>
      </w:pPr>
      <w:r>
        <w:rPr>
          <w:rFonts w:ascii="Arial" w:cs="Arial" w:eastAsia="Arial" w:hAnsi="Arial"/>
          <w:sz w:val="19"/>
          <w:szCs w:val="19"/>
          <w:color w:val="auto"/>
        </w:rPr>
        <w:t xml:space="preserve">4.2.3 </w:t>
      </w:r>
      <w:r>
        <w:rPr>
          <w:rFonts w:ascii="Arial" w:cs="Arial" w:eastAsia="Arial" w:hAnsi="Arial"/>
          <w:sz w:val="19"/>
          <w:szCs w:val="19"/>
          <w:u w:val="single" w:color="auto"/>
          <w:color w:val="auto"/>
        </w:rPr>
        <w:t>Enforceability of this Lease</w:t>
      </w:r>
      <w:r>
        <w:rPr>
          <w:rFonts w:ascii="Arial" w:cs="Arial" w:eastAsia="Arial" w:hAnsi="Arial"/>
          <w:sz w:val="19"/>
          <w:szCs w:val="19"/>
          <w:color w:val="auto"/>
        </w:rPr>
        <w:t>. This Lease is, and all instruments and documents executed in connection herewith will be, valid, binding, and enforceable against Tenant in accordance with their respective terms, subject to applicable bankruptcy, reorganization, insolvency, or other similar laws affecting the enforcement of creditors’ rights generally.</w:t>
      </w:r>
    </w:p>
    <w:p>
      <w:pPr>
        <w:spacing w:after="0" w:line="104" w:lineRule="exact"/>
        <w:rPr>
          <w:sz w:val="20"/>
          <w:szCs w:val="20"/>
          <w:color w:val="auto"/>
        </w:rPr>
      </w:pPr>
    </w:p>
    <w:p>
      <w:pPr>
        <w:jc w:val="both"/>
        <w:ind w:left="620"/>
        <w:spacing w:after="0" w:line="264" w:lineRule="auto"/>
        <w:rPr>
          <w:sz w:val="20"/>
          <w:szCs w:val="20"/>
          <w:color w:val="auto"/>
        </w:rPr>
      </w:pPr>
      <w:r>
        <w:rPr>
          <w:rFonts w:ascii="Arial" w:cs="Arial" w:eastAsia="Arial" w:hAnsi="Arial"/>
          <w:sz w:val="19"/>
          <w:szCs w:val="19"/>
          <w:color w:val="auto"/>
        </w:rPr>
        <w:t xml:space="preserve">4.2.4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this Lease by Tenant does not (a) violate any judicial or governmental decree, order, or judgment; (b) violate any Applicable Law; (c) conflict with the organizational documents of Tenant; or (d) result in a breach of, or constitute a default under, any agreement or instrument to which Tenant is a party or by which it is bound.</w:t>
      </w:r>
    </w:p>
    <w:p>
      <w:pPr>
        <w:spacing w:after="0" w:line="108"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V.</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Use and Occupancy of Leased Premises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Permitted Use of Leased Premises</w:t>
      </w:r>
      <w:r>
        <w:rPr>
          <w:rFonts w:ascii="Arial" w:cs="Arial" w:eastAsia="Arial" w:hAnsi="Arial"/>
          <w:sz w:val="19"/>
          <w:szCs w:val="19"/>
          <w:color w:val="auto"/>
        </w:rPr>
        <w:t>. Tenant may use the Leased Premises for general office uses, fabrication, manufacturing, storage and other purposes incident thereto (“</w:t>
      </w:r>
      <w:r>
        <w:rPr>
          <w:rFonts w:ascii="Arial" w:cs="Arial" w:eastAsia="Arial" w:hAnsi="Arial"/>
          <w:sz w:val="19"/>
          <w:szCs w:val="19"/>
          <w:u w:val="single" w:color="auto"/>
          <w:color w:val="auto"/>
        </w:rPr>
        <w:t>Permitted Use</w:t>
      </w:r>
      <w:r>
        <w:rPr>
          <w:rFonts w:ascii="Arial" w:cs="Arial" w:eastAsia="Arial" w:hAnsi="Arial"/>
          <w:sz w:val="19"/>
          <w:szCs w:val="19"/>
          <w:color w:val="auto"/>
        </w:rPr>
        <w:t>”), and for no other purpose.</w:t>
      </w:r>
    </w:p>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7"/>
          <w:szCs w:val="17"/>
          <w:u w:val="single" w:color="auto"/>
          <w:color w:val="auto"/>
        </w:rPr>
        <w:t>Compliance With Laws and Regulations; Permits</w:t>
      </w:r>
      <w:r>
        <w:rPr>
          <w:rFonts w:ascii="Arial" w:cs="Arial" w:eastAsia="Arial" w:hAnsi="Arial"/>
          <w:sz w:val="17"/>
          <w:szCs w:val="17"/>
          <w:color w:val="auto"/>
        </w:rPr>
        <w:t>. Tenant’s use of the Leased Premises shall comply with all Applicable Laws.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Certified Access Specialist</w:t>
      </w:r>
      <w:r>
        <w:rPr>
          <w:rFonts w:ascii="Arial" w:cs="Arial" w:eastAsia="Arial" w:hAnsi="Arial"/>
          <w:sz w:val="19"/>
          <w:szCs w:val="19"/>
          <w:color w:val="auto"/>
        </w:rPr>
        <w:t>. Pursuant to California Civil Code Section 1938, Landlord hereby advises Tenant that as of the date of this Lease neither the Leased Premises nor the Facility has undergone inspection by a Certified Access Specialist (CASp). Further, pursuant to California Civil Code Section 1938, Landlord notifies Tenant of the following: “A Certified Access Specialist (CASp) can inspect the subject premises and determine whether the subject premises comply with all of the applicable construction-related accessibility standards under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600"/>
          </w:cols>
          <w:pgMar w:left="960" w:top="1440" w:right="339" w:bottom="1440" w:gutter="0" w:footer="0" w:header="0"/>
        </w:sectPr>
      </w:pPr>
    </w:p>
    <w:bookmarkStart w:id="137" w:name="page138"/>
    <w:bookmarkEnd w:id="137"/>
    <w:p>
      <w:pPr>
        <w:spacing w:after="0" w:line="99" w:lineRule="exact"/>
        <w:rPr>
          <w:sz w:val="20"/>
          <w:szCs w:val="20"/>
          <w:color w:val="auto"/>
        </w:rPr>
      </w:pPr>
    </w:p>
    <w:p>
      <w:pPr>
        <w:jc w:val="both"/>
        <w:ind w:left="6"/>
        <w:spacing w:after="0" w:line="259" w:lineRule="auto"/>
        <w:rPr>
          <w:sz w:val="20"/>
          <w:szCs w:val="20"/>
          <w:color w:val="auto"/>
        </w:rPr>
      </w:pPr>
      <w:r>
        <w:rPr>
          <w:rFonts w:ascii="Arial" w:cs="Arial" w:eastAsia="Arial" w:hAnsi="Arial"/>
          <w:sz w:val="19"/>
          <w:szCs w:val="19"/>
          <w:color w:val="auto"/>
        </w:rPr>
        <w:t>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200" w:lineRule="exact"/>
        <w:rPr>
          <w:sz w:val="20"/>
          <w:szCs w:val="20"/>
          <w:color w:val="auto"/>
        </w:rPr>
      </w:pPr>
    </w:p>
    <w:p>
      <w:pPr>
        <w:spacing w:after="0" w:line="326" w:lineRule="exact"/>
        <w:rPr>
          <w:sz w:val="20"/>
          <w:szCs w:val="20"/>
          <w:color w:val="auto"/>
        </w:rPr>
      </w:pPr>
    </w:p>
    <w:p>
      <w:pPr>
        <w:jc w:val="both"/>
        <w:ind w:left="6"/>
        <w:spacing w:after="0" w:line="266"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Energy Disclosure</w:t>
      </w:r>
      <w:r>
        <w:rPr>
          <w:rFonts w:ascii="Arial" w:cs="Arial" w:eastAsia="Arial" w:hAnsi="Arial"/>
          <w:sz w:val="19"/>
          <w:szCs w:val="19"/>
          <w:color w:val="auto"/>
        </w:rPr>
        <w:t>. Tenant agrees to reasonably cooperate, at Landlord’s cost and expense, with Landlord to the extent necessary to comply with California Public Resources Code Section 25402.10 including, without limitation, providing or consenting to any utility company providing Tenant’s energy consumption information for the Leased Premises to Landlord.</w:t>
      </w:r>
    </w:p>
    <w:p>
      <w:pPr>
        <w:spacing w:after="0" w:line="200" w:lineRule="exact"/>
        <w:rPr>
          <w:sz w:val="20"/>
          <w:szCs w:val="20"/>
          <w:color w:val="auto"/>
        </w:rPr>
      </w:pPr>
    </w:p>
    <w:p>
      <w:pPr>
        <w:spacing w:after="0" w:line="319" w:lineRule="exact"/>
        <w:rPr>
          <w:sz w:val="20"/>
          <w:szCs w:val="20"/>
          <w:color w:val="auto"/>
        </w:rPr>
      </w:pPr>
    </w:p>
    <w:p>
      <w:pPr>
        <w:jc w:val="both"/>
        <w:ind w:left="6"/>
        <w:spacing w:after="0" w:line="233" w:lineRule="exact"/>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Tenant Indemnity Obligation</w:t>
      </w:r>
      <w:r>
        <w:rPr>
          <w:rFonts w:ascii="Arial" w:cs="Arial" w:eastAsia="Arial" w:hAnsi="Arial"/>
          <w:sz w:val="17"/>
          <w:szCs w:val="17"/>
          <w:color w:val="auto"/>
        </w:rPr>
        <w:t>. Tenant agrees to pay, and to protect, defend (with counsel reasonably acceptable to Landlord), indemnify and hold harmless Landlord and the other Landlord Indemnified Persons from and against any and all Losses whatsoever arising from (a) any use, condition or event occurring on or at the Leased Premises during the Term, (b) any injury to, or the death of, any person or damage to property on or at the Leased Premises during the Term, (c) any injury to, or the death of, any person or damage to property upon adjoining sidewalks, streets or rights of way or in any manner growing out of or connected with the use, non</w:t>
      </w:r>
      <w:r>
        <w:rPr>
          <w:rFonts w:ascii="MS PGothic" w:cs="MS PGothic" w:eastAsia="MS PGothic" w:hAnsi="MS PGothic"/>
          <w:sz w:val="17"/>
          <w:szCs w:val="17"/>
          <w:color w:val="auto"/>
        </w:rPr>
        <w:t>‑</w:t>
      </w:r>
      <w:r>
        <w:rPr>
          <w:rFonts w:ascii="Arial" w:cs="Arial" w:eastAsia="Arial" w:hAnsi="Arial"/>
          <w:sz w:val="17"/>
          <w:szCs w:val="17"/>
          <w:color w:val="auto"/>
        </w:rPr>
        <w:t>use, condition or occupation or operation of the Leased Premises, adjoining sidewalks, streets or rights of way during the Term, (d) any violation by Tenant of any agreement or condition of this Lease, or any contract or agreement to which Tenant is a party or which pertains to the Leased Premises or any part thereof or the ownership, occupancy or use thereof, (e) any violation by Tenant of any Applicable Law, or</w:t>
      </w:r>
    </w:p>
    <w:p>
      <w:pPr>
        <w:spacing w:after="0" w:line="1" w:lineRule="exact"/>
        <w:rPr>
          <w:sz w:val="20"/>
          <w:szCs w:val="20"/>
          <w:color w:val="auto"/>
        </w:rPr>
      </w:pPr>
    </w:p>
    <w:p>
      <w:pPr>
        <w:jc w:val="both"/>
        <w:ind w:left="6" w:hanging="6"/>
        <w:spacing w:after="0" w:line="282" w:lineRule="auto"/>
        <w:tabs>
          <w:tab w:leader="none" w:pos="2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negligence or willful misconduct of Tenant or Tenant’s employees, agents, representatives, contractors, invitees or licensees in, on or about the Leased Premises; provided, however, the foregoing indemnity shall not apply as to any Landlord Indemnified Persons with respect to claims arising solely from the gross negligence or willful misconduct of such Landlord Indemnified Persons.</w:t>
      </w:r>
    </w:p>
    <w:p>
      <w:pPr>
        <w:spacing w:after="0" w:line="200" w:lineRule="exact"/>
        <w:rPr>
          <w:sz w:val="20"/>
          <w:szCs w:val="20"/>
          <w:color w:val="auto"/>
        </w:rPr>
      </w:pPr>
    </w:p>
    <w:p>
      <w:pPr>
        <w:spacing w:after="0" w:line="288" w:lineRule="exact"/>
        <w:rPr>
          <w:sz w:val="20"/>
          <w:szCs w:val="20"/>
          <w:color w:val="auto"/>
        </w:rPr>
      </w:pPr>
    </w:p>
    <w:p>
      <w:pPr>
        <w:jc w:val="center"/>
        <w:ind w:right="614"/>
        <w:spacing w:after="0"/>
        <w:rPr>
          <w:sz w:val="20"/>
          <w:szCs w:val="20"/>
          <w:color w:val="auto"/>
        </w:rPr>
      </w:pPr>
      <w:r>
        <w:rPr>
          <w:rFonts w:ascii="Arial" w:cs="Arial" w:eastAsia="Arial" w:hAnsi="Arial"/>
          <w:sz w:val="19"/>
          <w:szCs w:val="19"/>
          <w:b w:val="1"/>
          <w:bCs w:val="1"/>
          <w:color w:val="auto"/>
        </w:rPr>
        <w:t>ARTICLE VI.</w:t>
      </w:r>
    </w:p>
    <w:p>
      <w:pPr>
        <w:spacing w:after="0" w:line="175" w:lineRule="exact"/>
        <w:rPr>
          <w:sz w:val="20"/>
          <w:szCs w:val="20"/>
          <w:color w:val="auto"/>
        </w:rPr>
      </w:pPr>
    </w:p>
    <w:p>
      <w:pPr>
        <w:jc w:val="center"/>
        <w:ind w:right="614"/>
        <w:spacing w:after="0"/>
        <w:rPr>
          <w:sz w:val="20"/>
          <w:szCs w:val="20"/>
          <w:color w:val="auto"/>
        </w:rPr>
      </w:pPr>
      <w:r>
        <w:rPr>
          <w:rFonts w:ascii="Arial" w:cs="Arial" w:eastAsia="Arial" w:hAnsi="Arial"/>
          <w:sz w:val="19"/>
          <w:szCs w:val="19"/>
          <w:b w:val="1"/>
          <w:bCs w:val="1"/>
          <w:u w:val="single" w:color="auto"/>
          <w:color w:val="auto"/>
        </w:rPr>
        <w:t>Destruction Of Leased Premises</w:t>
      </w:r>
    </w:p>
    <w:p>
      <w:pPr>
        <w:spacing w:after="0" w:line="168" w:lineRule="exact"/>
        <w:rPr>
          <w:sz w:val="20"/>
          <w:szCs w:val="20"/>
          <w:color w:val="auto"/>
        </w:rPr>
      </w:pPr>
    </w:p>
    <w:p>
      <w:pPr>
        <w:jc w:val="both"/>
        <w:ind w:left="6"/>
        <w:spacing w:after="0" w:line="28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Notice of Occurrence</w:t>
      </w:r>
      <w:r>
        <w:rPr>
          <w:rFonts w:ascii="Arial" w:cs="Arial" w:eastAsia="Arial" w:hAnsi="Arial"/>
          <w:sz w:val="19"/>
          <w:szCs w:val="19"/>
          <w:color w:val="auto"/>
        </w:rPr>
        <w:t>. Tenant shall give Landlord notice within ten (10) days of the occurrence of an Event of Destruction that damages or destroys, in whole or in part, the Leased Premises.</w:t>
      </w:r>
    </w:p>
    <w:p>
      <w:pPr>
        <w:spacing w:after="0" w:line="105" w:lineRule="exact"/>
        <w:rPr>
          <w:sz w:val="20"/>
          <w:szCs w:val="20"/>
          <w:color w:val="auto"/>
        </w:rPr>
      </w:pPr>
    </w:p>
    <w:p>
      <w:pPr>
        <w:jc w:val="both"/>
        <w:ind w:left="6"/>
        <w:spacing w:after="0" w:line="29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Restoration of Premises</w:t>
      </w:r>
      <w:r>
        <w:rPr>
          <w:rFonts w:ascii="Arial" w:cs="Arial" w:eastAsia="Arial" w:hAnsi="Arial"/>
          <w:sz w:val="17"/>
          <w:szCs w:val="17"/>
          <w:color w:val="auto"/>
        </w:rPr>
        <w:t>. Upon an Event of Destruction, Landlord shall, subject to Section 6.3, with reasonable dispatch and continuity, perform all work necessary to repair, restore, replace and rebuild the Leased Premises or the damaged portion thereof. Landlord shall keep and hold the Leased Premises free, clear and harmless of and from all Liens (other than Permitted Liens) that could arise by reason of Landlord’s restoration. Landlord’s restoration shall be sufficient (a) to return the Leased Premises to substantially the condition immediately prior to the occurrence of the Event of Destruction and (b) to meet all applicable building codes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946"/>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606"/>
          </w:cols>
          <w:pgMar w:left="954" w:top="1440" w:right="339" w:bottom="1440" w:gutter="0" w:footer="0" w:header="0"/>
        </w:sectPr>
      </w:pPr>
    </w:p>
    <w:bookmarkStart w:id="138" w:name="page139"/>
    <w:bookmarkEnd w:id="138"/>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Option</w:t>
      </w:r>
      <w:r>
        <w:rPr>
          <w:rFonts w:ascii="Arial" w:cs="Arial" w:eastAsia="Arial" w:hAnsi="Arial"/>
          <w:sz w:val="18"/>
          <w:szCs w:val="18"/>
          <w:color w:val="auto"/>
        </w:rPr>
        <w:t>. If an Event of Destruction occurs such that the Leased Premises cannot reasonably be restored or repaired, such that Tenant may resume operation of its business substantially in the ordinary course, within ninety (90) days of such damage or destruction as determined by Landlord in its reasonable discretion, then Landlord or Tenant may, at its option, terminate this Lease by giving written notice to the other party within forty-five (45) days after the date of such Event of Destruction. Landlord may also terminate this Lease if the Event of Destruction occurs during the last six (6) months of the Term.</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Notice of Restoration Time</w:t>
      </w:r>
      <w:r>
        <w:rPr>
          <w:rFonts w:ascii="Arial" w:cs="Arial" w:eastAsia="Arial" w:hAnsi="Arial"/>
          <w:sz w:val="19"/>
          <w:szCs w:val="19"/>
          <w:color w:val="auto"/>
        </w:rPr>
        <w:t>. Landlord shall use commercially reasonable efforts to notify Tenant within thirty (30) days of receiving notice of the Event of Destruction with respect to whether such restoration can be completed within ninety (90) days.</w:t>
      </w:r>
    </w:p>
    <w:p>
      <w:pPr>
        <w:spacing w:after="0" w:line="86"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VII.</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Improvements to Leased Premises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Right to Make Tenant Additions</w:t>
      </w:r>
      <w:r>
        <w:rPr>
          <w:rFonts w:ascii="Arial" w:cs="Arial" w:eastAsia="Arial" w:hAnsi="Arial"/>
          <w:sz w:val="18"/>
          <w:szCs w:val="18"/>
          <w:color w:val="auto"/>
        </w:rPr>
        <w:t>. Tenant shall not make Tenant Additions to the Leased Premises without Landlord’s prior written consent, which consent may not be unreasonably withheld, conditioned or delayed by Landlord, except that prior consent shall not be required for Tenant Additions costing $50,000.00 or less that do not affect the roof or structure of the improvements. Tenant shall maintain Tenant Additions in good order and repair. With the exception of Personal Property and Trade Fixtures installed by Tenant as part of any Tenant Additions, Tenant Additions shall become part of the Leased Premises and shall be surrendered to the Landlord with the Leased Premises at the end of the Lease Term. Tenant shall promptly pay for all labor costs incurred and materials purchased in connection with any Tenant Additions and shall keep and hold the Leased Premises free, clear, and harmless of and from all Liens (other than Permitted Liens) that could arise by reason of the Tenant Additions.</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Notice of Non-Responsibility</w:t>
      </w:r>
      <w:r>
        <w:rPr>
          <w:rFonts w:ascii="Arial" w:cs="Arial" w:eastAsia="Arial" w:hAnsi="Arial"/>
          <w:sz w:val="18"/>
          <w:szCs w:val="18"/>
          <w:color w:val="auto"/>
        </w:rPr>
        <w:t>. Without limiting the foregoing, upon Landlord’s obtaining knowledge of the commencement of any Tenant Additions, Landlord shall be permitted to post a timely Notice of Non-Responsibility at the Leased Premises, which shall also be recorded in the office of the Recorder of the County in which the Leased Premises is located, all in accordance with the terms of California Civil Code Sections 8444 and 8060. Upon the completion of any Tenant Additions, Tenant shall cause a timely Notice of Completion to be recorded in the office of the Recorder of the County in which the Leased Premises is located in accordance with the terms of California Civil Code Section 8182, and Tenant shall deliver to Landlord a conformed copy of such Notice of Completion.</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9"/>
          <w:szCs w:val="19"/>
          <w:b w:val="1"/>
          <w:bCs w:val="1"/>
          <w:color w:val="auto"/>
        </w:rPr>
        <w:t>ARTICLE VIII.</w:t>
      </w:r>
    </w:p>
    <w:p>
      <w:pPr>
        <w:spacing w:after="0" w:line="162" w:lineRule="exact"/>
        <w:rPr>
          <w:sz w:val="20"/>
          <w:szCs w:val="20"/>
          <w:color w:val="auto"/>
        </w:rPr>
      </w:pPr>
    </w:p>
    <w:p>
      <w:pPr>
        <w:ind w:left="4380"/>
        <w:spacing w:after="0"/>
        <w:rPr>
          <w:sz w:val="20"/>
          <w:szCs w:val="20"/>
          <w:color w:val="auto"/>
        </w:rPr>
      </w:pPr>
      <w:r>
        <w:rPr>
          <w:rFonts w:ascii="Arial" w:cs="Arial" w:eastAsia="Arial" w:hAnsi="Arial"/>
          <w:sz w:val="19"/>
          <w:szCs w:val="19"/>
          <w:b w:val="1"/>
          <w:bCs w:val="1"/>
          <w:u w:val="single" w:color="auto"/>
          <w:color w:val="auto"/>
        </w:rPr>
        <w:t>Condemnation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Complete Taking</w:t>
      </w:r>
      <w:r>
        <w:rPr>
          <w:rFonts w:ascii="Arial" w:cs="Arial" w:eastAsia="Arial" w:hAnsi="Arial"/>
          <w:sz w:val="19"/>
          <w:szCs w:val="19"/>
          <w:color w:val="auto"/>
        </w:rPr>
        <w:t>. If substantially all the Leased Premises is taken in a Condemnation Proceeding, this Lease shall terminate on the earlier of (a) the date the Condemnation becomes final or (b) the date the condemning authority takes possession of the Leased Premises. “Substantially all” of the Leased Premises shall be deemed taken if Tenant is unable to conduct any significant aspect of its business operations after the Condemnation.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Partial Taking</w:t>
      </w:r>
      <w:r>
        <w:rPr>
          <w:rFonts w:ascii="Arial" w:cs="Arial" w:eastAsia="Arial" w:hAnsi="Arial"/>
          <w:sz w:val="19"/>
          <w:szCs w:val="19"/>
          <w:color w:val="auto"/>
        </w:rPr>
        <w:t>. If any portion of the Leased Premises is taken in a Condemnation Proceeding, and such taking materially interferes with any aspect of Tenant’s business operations thereon, Tenant may elect to either (a) surrender the Leased Premises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600"/>
          </w:cols>
          <w:pgMar w:left="960" w:top="1440" w:right="339" w:bottom="1440" w:gutter="0" w:footer="0" w:header="0"/>
        </w:sectPr>
      </w:pPr>
    </w:p>
    <w:bookmarkStart w:id="139" w:name="page140"/>
    <w:bookmarkEnd w:id="139"/>
    <w:p>
      <w:pPr>
        <w:spacing w:after="0" w:line="99" w:lineRule="exact"/>
        <w:rPr>
          <w:sz w:val="20"/>
          <w:szCs w:val="20"/>
          <w:color w:val="auto"/>
        </w:rPr>
      </w:pPr>
    </w:p>
    <w:p>
      <w:pPr>
        <w:spacing w:after="0"/>
        <w:rPr>
          <w:sz w:val="20"/>
          <w:szCs w:val="20"/>
          <w:color w:val="auto"/>
        </w:rPr>
      </w:pPr>
      <w:r>
        <w:rPr>
          <w:rFonts w:ascii="Arial" w:cs="Arial" w:eastAsia="Arial" w:hAnsi="Arial"/>
          <w:sz w:val="19"/>
          <w:szCs w:val="19"/>
          <w:color w:val="auto"/>
        </w:rPr>
        <w:t>the Lease or (b) continue in possession of the remainder of the Leased Premises under the terms of the Lease.</w:t>
      </w:r>
    </w:p>
    <w:p>
      <w:pPr>
        <w:spacing w:after="0" w:line="17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8.3</w:t>
      </w:r>
      <w:r>
        <w:rPr>
          <w:sz w:val="20"/>
          <w:szCs w:val="20"/>
          <w:color w:val="auto"/>
        </w:rPr>
        <w:tab/>
      </w:r>
      <w:r>
        <w:rPr>
          <w:rFonts w:ascii="Arial" w:cs="Arial" w:eastAsia="Arial" w:hAnsi="Arial"/>
          <w:sz w:val="17"/>
          <w:szCs w:val="17"/>
          <w:u w:val="single" w:color="auto"/>
          <w:color w:val="auto"/>
        </w:rPr>
        <w:t>Notice</w:t>
      </w:r>
      <w:r>
        <w:rPr>
          <w:rFonts w:ascii="Arial" w:cs="Arial" w:eastAsia="Arial" w:hAnsi="Arial"/>
          <w:sz w:val="17"/>
          <w:szCs w:val="17"/>
          <w:color w:val="auto"/>
        </w:rPr>
        <w:t>. Tenant shall give Landlord notice of its election within thirty (30) days after the Condemnation becomes final.</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19"/>
          <w:szCs w:val="19"/>
          <w:color w:val="auto"/>
        </w:rPr>
        <w:t>8.4</w:t>
      </w:r>
      <w:r>
        <w:rPr>
          <w:sz w:val="20"/>
          <w:szCs w:val="20"/>
          <w:color w:val="auto"/>
        </w:rPr>
        <w:tab/>
      </w:r>
      <w:r>
        <w:rPr>
          <w:rFonts w:ascii="Arial" w:cs="Arial" w:eastAsia="Arial" w:hAnsi="Arial"/>
          <w:sz w:val="17"/>
          <w:szCs w:val="17"/>
          <w:u w:val="single" w:color="auto"/>
          <w:color w:val="auto"/>
        </w:rPr>
        <w:t>Condemnation Award</w:t>
      </w:r>
      <w:r>
        <w:rPr>
          <w:rFonts w:ascii="Arial" w:cs="Arial" w:eastAsia="Arial" w:hAnsi="Arial"/>
          <w:sz w:val="17"/>
          <w:szCs w:val="17"/>
          <w:color w:val="auto"/>
        </w:rPr>
        <w:t>. In the event of a Condemnation, any Condemnation award shall be allocated between the Landlord and the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Tenant as follows:</w:t>
      </w:r>
    </w:p>
    <w:p>
      <w:pPr>
        <w:spacing w:after="0" w:line="153" w:lineRule="exact"/>
        <w:rPr>
          <w:sz w:val="20"/>
          <w:szCs w:val="20"/>
          <w:color w:val="auto"/>
        </w:rPr>
      </w:pPr>
    </w:p>
    <w:p>
      <w:pPr>
        <w:ind w:left="620"/>
        <w:spacing w:after="0" w:line="318" w:lineRule="auto"/>
        <w:rPr>
          <w:sz w:val="20"/>
          <w:szCs w:val="20"/>
          <w:color w:val="auto"/>
        </w:rPr>
      </w:pPr>
      <w:r>
        <w:rPr>
          <w:rFonts w:ascii="Arial" w:cs="Arial" w:eastAsia="Arial" w:hAnsi="Arial"/>
          <w:sz w:val="18"/>
          <w:szCs w:val="18"/>
          <w:color w:val="auto"/>
        </w:rPr>
        <w:t>8.4.1 Landlord shall be entitled to that portion of the Condemnation award representing compensation for the value of the portion of the Leased Premises taken, except to the extent it is attributable to the items described in Section 8.4.2; and</w:t>
      </w:r>
    </w:p>
    <w:p>
      <w:pPr>
        <w:spacing w:after="0" w:line="81" w:lineRule="exact"/>
        <w:rPr>
          <w:sz w:val="20"/>
          <w:szCs w:val="20"/>
          <w:color w:val="auto"/>
        </w:rPr>
      </w:pPr>
    </w:p>
    <w:p>
      <w:pPr>
        <w:ind w:left="620"/>
        <w:spacing w:after="0" w:line="274" w:lineRule="auto"/>
        <w:rPr>
          <w:sz w:val="20"/>
          <w:szCs w:val="20"/>
          <w:color w:val="auto"/>
        </w:rPr>
      </w:pPr>
      <w:r>
        <w:rPr>
          <w:rFonts w:ascii="Arial" w:cs="Arial" w:eastAsia="Arial" w:hAnsi="Arial"/>
          <w:sz w:val="19"/>
          <w:szCs w:val="19"/>
          <w:color w:val="auto"/>
        </w:rPr>
        <w:t>8.4.2 Tenant shall be entitled to receive any portion of the Condemnation award, attributable to any damages to the Tenant’s Personal Property and Trade Fixtures and any Tenant Additions.</w:t>
      </w:r>
    </w:p>
    <w:p>
      <w:pPr>
        <w:spacing w:after="0" w:line="117"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Waiver of Other Rights</w:t>
      </w:r>
      <w:r>
        <w:rPr>
          <w:rFonts w:ascii="Arial" w:cs="Arial" w:eastAsia="Arial" w:hAnsi="Arial"/>
          <w:sz w:val="17"/>
          <w:szCs w:val="17"/>
          <w:color w:val="auto"/>
        </w:rPr>
        <w:t>. Tenant hereby waives any and all provisions of applicable law that provide alternative rights for the parties in the event of Event of Destruction or Condemnation (including, without limitation, California Civil Code Section 1932(2), California Civil Code Section 1933(4), California Code of Civil Procedure Section 1265.130, and any successor statute or laws of a similar nature) and agrees that the provisions hereof shall govern the parties’ rights in the event of any Event of Destruction or Condemnation.</w:t>
      </w:r>
    </w:p>
    <w:p>
      <w:pPr>
        <w:spacing w:after="0" w:line="200" w:lineRule="exact"/>
        <w:rPr>
          <w:sz w:val="20"/>
          <w:szCs w:val="20"/>
          <w:color w:val="auto"/>
        </w:rPr>
      </w:pPr>
    </w:p>
    <w:p>
      <w:pPr>
        <w:spacing w:after="0" w:line="272"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IX.</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Environmental Provisions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Tenant</w:t>
      </w:r>
      <w:r>
        <w:rPr>
          <w:rFonts w:ascii="Arial" w:cs="Arial" w:eastAsia="Arial" w:hAnsi="Arial"/>
          <w:sz w:val="19"/>
          <w:szCs w:val="19"/>
          <w:color w:val="auto"/>
        </w:rPr>
        <w:t>. Tenant shall indemnify and hold harmless Landlord, its Affiliates and their respective officers, directors, stockholders, managers, members, partners, employees, agents and representatives (“</w:t>
      </w:r>
      <w:r>
        <w:rPr>
          <w:rFonts w:ascii="Arial" w:cs="Arial" w:eastAsia="Arial" w:hAnsi="Arial"/>
          <w:sz w:val="19"/>
          <w:szCs w:val="19"/>
          <w:u w:val="single" w:color="auto"/>
          <w:color w:val="auto"/>
        </w:rPr>
        <w:t>Landlord Indemnified Persons</w:t>
      </w:r>
      <w:r>
        <w:rPr>
          <w:rFonts w:ascii="Arial" w:cs="Arial" w:eastAsia="Arial" w:hAnsi="Arial"/>
          <w:sz w:val="19"/>
          <w:szCs w:val="19"/>
          <w:color w:val="auto"/>
        </w:rPr>
        <w:t>”) from and against any and all Losses incurred or suffered by Landlord Indemnified Persons and shall pay or reimburse, on demand, each Landlord Indemnified Person for the full amount of any such Losses relating to, arising out of or resulting from any Environmental Condition or Environmental Claim relating to the Leased Premises to the extent caused by Tenant or its invitees during the Lease Term. Tenant’s obligations under this section shall survive termination of this Lease.</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Landlord</w:t>
      </w:r>
      <w:r>
        <w:rPr>
          <w:rFonts w:ascii="Arial" w:cs="Arial" w:eastAsia="Arial" w:hAnsi="Arial"/>
          <w:sz w:val="17"/>
          <w:szCs w:val="17"/>
          <w:color w:val="auto"/>
        </w:rPr>
        <w:t>. Landlord shall indemnify and hold harmless Tenant, its affiliates and their respective officers, directors, stockholders, partners, members, managers, employees, agents and representatives (“</w:t>
      </w:r>
      <w:r>
        <w:rPr>
          <w:rFonts w:ascii="Arial" w:cs="Arial" w:eastAsia="Arial" w:hAnsi="Arial"/>
          <w:sz w:val="17"/>
          <w:szCs w:val="17"/>
          <w:u w:val="single" w:color="auto"/>
          <w:color w:val="auto"/>
        </w:rPr>
        <w:t>Tenant Indemnified Persons</w:t>
      </w:r>
      <w:r>
        <w:rPr>
          <w:rFonts w:ascii="Arial" w:cs="Arial" w:eastAsia="Arial" w:hAnsi="Arial"/>
          <w:sz w:val="17"/>
          <w:szCs w:val="17"/>
          <w:color w:val="auto"/>
        </w:rPr>
        <w:t xml:space="preserve">”) from and against any and all Losses incurred or suffered by Tenant Indemnified Persons and shall pay or reimburse, on demand, each Tenant Indemnified Person for the full amount of such Losses relating to, arising out of or resulting from any Environmental Condition or Environmental Claim relating to the Leased Premises to the extent caused by Landlord during the Lease Term. Notwithstanding the foregoing to the contrary, nothing in this Lease (a) obligates Landlord to indemnify Tenant or the </w:t>
      </w:r>
      <w:r>
        <w:rPr>
          <w:rFonts w:ascii="Arial" w:cs="Arial" w:eastAsia="Arial" w:hAnsi="Arial"/>
          <w:sz w:val="17"/>
          <w:szCs w:val="17"/>
          <w:u w:val="single" w:color="auto"/>
          <w:color w:val="auto"/>
        </w:rPr>
        <w:t>Tenant Indemnified Persons</w:t>
      </w:r>
      <w:r>
        <w:rPr>
          <w:rFonts w:ascii="Arial" w:cs="Arial" w:eastAsia="Arial" w:hAnsi="Arial"/>
          <w:sz w:val="17"/>
          <w:szCs w:val="17"/>
          <w:color w:val="auto"/>
        </w:rPr>
        <w:t xml:space="preserve"> with respect to any Environmental Conditions or Environmental Claims arising before the Lease Term or caused by third-parties, or (b) releases Tenant from any liability or obligations related to Environmental Conditions or Environmental Claims that may be expressly provided for in the purchase agreement pursuant to which Landlord acquired the Premises from Tenant. The provisions of this Section shall survive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600"/>
          </w:cols>
          <w:pgMar w:left="960" w:top="1440" w:right="339" w:bottom="1440" w:gutter="0" w:footer="0" w:header="0"/>
        </w:sectPr>
      </w:pPr>
    </w:p>
    <w:bookmarkStart w:id="140" w:name="page141"/>
    <w:bookmarkEnd w:id="140"/>
    <w:p>
      <w:pPr>
        <w:spacing w:after="0" w:line="200" w:lineRule="exact"/>
        <w:rPr>
          <w:sz w:val="20"/>
          <w:szCs w:val="20"/>
          <w:color w:val="auto"/>
        </w:rPr>
      </w:pP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Restriction on Hazardous Materials and Compliance with Environmental Laws</w:t>
      </w:r>
      <w:r>
        <w:rPr>
          <w:rFonts w:ascii="Arial" w:cs="Arial" w:eastAsia="Arial" w:hAnsi="Arial"/>
          <w:sz w:val="19"/>
          <w:szCs w:val="19"/>
          <w:color w:val="auto"/>
        </w:rPr>
        <w:t>. Except for Hazardous Materials used, stored or maintained by Tenant in the normal course of the conduct of the Permitted Use of the Leased Premises, and which Tenant handles and disposes in accordance with all Environmental Laws, Tenant shall not use, generate, manufacture, store, transport, release, or dispose of Hazardous Materials in, on, or about the Leased Premises or transport Hazardous Materials from the Leased Premises. Tenant shall not cause or permit the release or disposal of Hazardous Materials from the Leased Premises except in compliance with applicable Environmental Laws.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Tenant Obligations</w:t>
      </w:r>
      <w:r>
        <w:rPr>
          <w:rFonts w:ascii="Arial" w:cs="Arial" w:eastAsia="Arial" w:hAnsi="Arial"/>
          <w:sz w:val="18"/>
          <w:szCs w:val="18"/>
          <w:color w:val="auto"/>
        </w:rPr>
        <w:t>. If the presence of any Hazardous Materials on, under or about the Leased Premises caused or permitted by Tenant or its agents, officers, directors, shareholders, members, managers, partners, employees, subtenants, assignees, licensees, contractors or invitees (collectively, “</w:t>
      </w:r>
      <w:r>
        <w:rPr>
          <w:rFonts w:ascii="Arial" w:cs="Arial" w:eastAsia="Arial" w:hAnsi="Arial"/>
          <w:sz w:val="18"/>
          <w:szCs w:val="18"/>
          <w:u w:val="single" w:color="auto"/>
          <w:color w:val="auto"/>
        </w:rPr>
        <w:t>Tenant’s Parties</w:t>
      </w:r>
      <w:r>
        <w:rPr>
          <w:rFonts w:ascii="Arial" w:cs="Arial" w:eastAsia="Arial" w:hAnsi="Arial"/>
          <w:sz w:val="18"/>
          <w:szCs w:val="18"/>
          <w:color w:val="auto"/>
        </w:rPr>
        <w:t>”) during the Lease Term results in (a) injury to any person, (b) injury to or contamination of the Leased Premises, or (c) injury to or contamination of any real or personal property wherever situated, Tenant, at its sole cost and expense, shall promptly take all actions necessary to return the Leased Premises to the condition existing prior to the introduction of such Hazardous Materials to the Leased Premises and to remedy or repair any such injury or contamination. Without limiting any other rights or remedies of Landlord under this Lease, Tenant shall pay the cost of any cleanup work performed on, under or about the Leased Premises as required by this Lease or any Environmental Laws in connection with the removal, disposal, neutralization or other treatment of such Hazardous Materials caused or permitted by Tenant or Tenant’s Parties.</w:t>
      </w:r>
    </w:p>
    <w:p>
      <w:pPr>
        <w:spacing w:after="0" w:line="200" w:lineRule="exact"/>
        <w:rPr>
          <w:sz w:val="20"/>
          <w:szCs w:val="20"/>
          <w:color w:val="auto"/>
        </w:rPr>
      </w:pPr>
    </w:p>
    <w:p>
      <w:pPr>
        <w:spacing w:after="0" w:line="3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Inspection; Compliance</w:t>
      </w:r>
      <w:r>
        <w:rPr>
          <w:rFonts w:ascii="Arial" w:cs="Arial" w:eastAsia="Arial" w:hAnsi="Arial"/>
          <w:sz w:val="18"/>
          <w:szCs w:val="18"/>
          <w:color w:val="auto"/>
        </w:rPr>
        <w:t xml:space="preserve">. Landlord shall have the right, but not the obligation, to inspect, investigate, sample and/or monitor the Leased Premises, including any air, soil, water, groundwater or other sampling, and any other testing, digging, drilling or analyses, at any time to determine whether Tenant is complying with the terms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in connection therewith, Tenant shall provide Landlord with access to all relevant facilities, records and personnel. If Tenant is not in compliance with any of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or in the event of a release of any Hazardous Materials on, under, from or about the Leased Premises, Landlord shall have the right, but not the obligation, without limitation on any of Landlord’s other rights and remedies under this Lease, to immediately enter upon the Leased Premises and to discharge Tenant’s obligations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at Tenant’s expense, including without limitation the taking of emergency or long term remedial action. Landlord and Landlord Parties shall not interference with Tenant’s business in exercising such right. In addition, Landlord, at Tenant’s sole cost and expense, shall have the right, but not the obligation, to join and participate in any legal proceedings or actions initiated in connection with any claims or causes of action arising out of the storage, generation, use or disposal by Tenant or Tenant’s Parties of Hazardous Materials on, under, from or about the Leased Premises. All sums reasonably disbursed, deposited or incurred by Landlord in connection herewith, including, but not limited to, all costs, expenses and actual attorneys’ fees, shall be due and payable by Tenant to Landlord, as an item of Additional Rent, on demand by Landlord, together with interest thereon at the Interest Rate from the date of such demand until paid by Tenant.</w:t>
      </w:r>
    </w:p>
    <w:p>
      <w:pPr>
        <w:spacing w:after="0" w:line="11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Environmental Questionnaire</w:t>
      </w:r>
      <w:r>
        <w:rPr>
          <w:rFonts w:ascii="Arial" w:cs="Arial" w:eastAsia="Arial" w:hAnsi="Arial"/>
          <w:sz w:val="19"/>
          <w:szCs w:val="19"/>
          <w:color w:val="auto"/>
        </w:rPr>
        <w:t>. To the extent requested by any of Tenant’s lenders that have, or will have, loans secured by a mortgage on the Leased Premises, but in no event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600"/>
          </w:cols>
          <w:pgMar w:left="960" w:top="1440" w:right="339" w:bottom="1440" w:gutter="0" w:footer="0" w:header="0"/>
        </w:sectPr>
      </w:pPr>
    </w:p>
    <w:bookmarkStart w:id="141" w:name="page142"/>
    <w:bookmarkEnd w:id="141"/>
    <w:p>
      <w:pPr>
        <w:spacing w:after="0" w:line="99" w:lineRule="exact"/>
        <w:rPr>
          <w:sz w:val="20"/>
          <w:szCs w:val="20"/>
          <w:color w:val="auto"/>
        </w:rPr>
      </w:pPr>
    </w:p>
    <w:p>
      <w:pPr>
        <w:jc w:val="both"/>
        <w:ind w:left="6"/>
        <w:spacing w:after="0" w:line="266" w:lineRule="auto"/>
        <w:rPr>
          <w:sz w:val="20"/>
          <w:szCs w:val="20"/>
          <w:color w:val="auto"/>
        </w:rPr>
      </w:pPr>
      <w:r>
        <w:rPr>
          <w:rFonts w:ascii="Arial" w:cs="Arial" w:eastAsia="Arial" w:hAnsi="Arial"/>
          <w:sz w:val="19"/>
          <w:szCs w:val="19"/>
          <w:color w:val="auto"/>
        </w:rPr>
        <w:t>than once in any 12-month period, Tenant shall complete, execute and deliver to Landlord an Environmental Questionnaire and Disclosure Statement (the “</w:t>
      </w:r>
      <w:r>
        <w:rPr>
          <w:rFonts w:ascii="Arial" w:cs="Arial" w:eastAsia="Arial" w:hAnsi="Arial"/>
          <w:sz w:val="19"/>
          <w:szCs w:val="19"/>
          <w:u w:val="single" w:color="auto"/>
          <w:color w:val="auto"/>
        </w:rPr>
        <w:t>Environmental Questionnaire</w:t>
      </w:r>
      <w:r>
        <w:rPr>
          <w:rFonts w:ascii="Arial" w:cs="Arial" w:eastAsia="Arial" w:hAnsi="Arial"/>
          <w:sz w:val="19"/>
          <w:szCs w:val="19"/>
          <w:color w:val="auto"/>
        </w:rPr>
        <w:t xml:space="preserve">”)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and Tenant shall certify to Landlord all information contained in the Environmental Questionnaire as true and correct to the best of Tenant’s knowledge and belief.</w:t>
      </w:r>
    </w:p>
    <w:p>
      <w:pPr>
        <w:spacing w:after="0" w:line="200" w:lineRule="exact"/>
        <w:rPr>
          <w:sz w:val="20"/>
          <w:szCs w:val="20"/>
          <w:color w:val="auto"/>
        </w:rPr>
      </w:pPr>
    </w:p>
    <w:p>
      <w:pPr>
        <w:spacing w:after="0" w:line="313" w:lineRule="exact"/>
        <w:rPr>
          <w:sz w:val="20"/>
          <w:szCs w:val="20"/>
          <w:color w:val="auto"/>
        </w:rPr>
      </w:pPr>
    </w:p>
    <w:p>
      <w:pPr>
        <w:jc w:val="center"/>
        <w:ind w:right="614"/>
        <w:spacing w:after="0"/>
        <w:rPr>
          <w:sz w:val="20"/>
          <w:szCs w:val="20"/>
          <w:color w:val="auto"/>
        </w:rPr>
      </w:pPr>
      <w:r>
        <w:rPr>
          <w:rFonts w:ascii="Arial" w:cs="Arial" w:eastAsia="Arial" w:hAnsi="Arial"/>
          <w:sz w:val="19"/>
          <w:szCs w:val="19"/>
          <w:b w:val="1"/>
          <w:bCs w:val="1"/>
          <w:color w:val="auto"/>
        </w:rPr>
        <w:t>ARTICLE X.</w:t>
      </w:r>
    </w:p>
    <w:p>
      <w:pPr>
        <w:spacing w:after="0" w:line="162" w:lineRule="exact"/>
        <w:rPr>
          <w:sz w:val="20"/>
          <w:szCs w:val="20"/>
          <w:color w:val="auto"/>
        </w:rPr>
      </w:pPr>
    </w:p>
    <w:p>
      <w:pPr>
        <w:jc w:val="center"/>
        <w:ind w:right="614"/>
        <w:spacing w:after="0"/>
        <w:rPr>
          <w:sz w:val="20"/>
          <w:szCs w:val="20"/>
          <w:color w:val="auto"/>
        </w:rPr>
      </w:pPr>
      <w:r>
        <w:rPr>
          <w:rFonts w:ascii="Arial" w:cs="Arial" w:eastAsia="Arial" w:hAnsi="Arial"/>
          <w:sz w:val="19"/>
          <w:szCs w:val="19"/>
          <w:b w:val="1"/>
          <w:bCs w:val="1"/>
          <w:u w:val="single" w:color="auto"/>
          <w:color w:val="auto"/>
        </w:rPr>
        <w:t>Liability and Property Insurance</w:t>
      </w:r>
    </w:p>
    <w:p>
      <w:pPr>
        <w:spacing w:after="0" w:line="181" w:lineRule="exact"/>
        <w:rPr>
          <w:sz w:val="20"/>
          <w:szCs w:val="20"/>
          <w:color w:val="auto"/>
        </w:rPr>
      </w:pPr>
    </w:p>
    <w:p>
      <w:pPr>
        <w:jc w:val="both"/>
        <w:ind w:left="6"/>
        <w:spacing w:after="0" w:line="259"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Insurance</w:t>
      </w:r>
      <w:r>
        <w:rPr>
          <w:rFonts w:ascii="Arial" w:cs="Arial" w:eastAsia="Arial" w:hAnsi="Arial"/>
          <w:sz w:val="19"/>
          <w:szCs w:val="19"/>
          <w:color w:val="auto"/>
        </w:rPr>
        <w:t>. During the Lease Term, (a) Tenant shall maintain Liability Insurance and property insurance on its Personal Property and Trade Fixtures, and (b) Landlord shall maintain Property Insurance. The Liability Insurance policy of Tenant shall name Landlord and any persons, firms, lenders, associations, corporations or other legal entities at any time designated by Landlord as additional named insureds, as their interests may appear. In the event of an insured loss, proceeds from the Property Insurance shall be paid to Landlord. Tenant shall reimburse Landlord upon demand for all Property Insurance premiums and costs paid by Landlord up to an amount not to exceed $1,500.</w:t>
      </w:r>
    </w:p>
    <w:p>
      <w:pPr>
        <w:spacing w:after="0" w:line="133" w:lineRule="exact"/>
        <w:rPr>
          <w:sz w:val="20"/>
          <w:szCs w:val="20"/>
          <w:color w:val="auto"/>
        </w:rPr>
      </w:pPr>
    </w:p>
    <w:p>
      <w:pPr>
        <w:jc w:val="both"/>
        <w:ind w:left="6"/>
        <w:spacing w:after="0" w:line="31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Certificates Of Insurance</w:t>
      </w:r>
      <w:r>
        <w:rPr>
          <w:rFonts w:ascii="Arial" w:cs="Arial" w:eastAsia="Arial" w:hAnsi="Arial"/>
          <w:sz w:val="17"/>
          <w:szCs w:val="17"/>
          <w:color w:val="auto"/>
        </w:rPr>
        <w:t>. Tenant shall deliver to Landlord certificates evidencing the existence of the insurance required by this Lease and evidence of premium payments within ten (10) days after the Commencement Date. Tenant shall notify Landlord thirty (30) days prior to the expiration or cancellation of such insurance policies and shall procure and maintain renewal or additional policies.</w:t>
      </w:r>
    </w:p>
    <w:p>
      <w:pPr>
        <w:spacing w:after="0" w:line="77" w:lineRule="exact"/>
        <w:rPr>
          <w:sz w:val="20"/>
          <w:szCs w:val="20"/>
          <w:color w:val="auto"/>
        </w:rPr>
      </w:pPr>
    </w:p>
    <w:p>
      <w:pPr>
        <w:jc w:val="both"/>
        <w:ind w:left="6"/>
        <w:spacing w:after="0" w:line="263"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Waiver Of Rights To Extent Of Insurance</w:t>
      </w:r>
      <w:r>
        <w:rPr>
          <w:rFonts w:ascii="Arial" w:cs="Arial" w:eastAsia="Arial" w:hAnsi="Arial"/>
          <w:sz w:val="19"/>
          <w:szCs w:val="19"/>
          <w:color w:val="auto"/>
        </w:rPr>
        <w:t>. Each of Tenant and Landlord waives its rights of recovery or subrogation against the other, or its agents or representatives, for Losses to such party, its property, or the property of others under its control, to the extent that such Losses are covered under any insurance policy in force at the time of such Losses or which should have been in force in accordance with the terms of this Lease. Landlord and Tenant shall each notify their respective insurance carriers that this mutual waiver of subrogation is in this Lease.</w:t>
      </w:r>
    </w:p>
    <w:p>
      <w:pPr>
        <w:spacing w:after="0" w:line="108" w:lineRule="exact"/>
        <w:rPr>
          <w:sz w:val="20"/>
          <w:szCs w:val="20"/>
          <w:color w:val="auto"/>
        </w:rPr>
      </w:pPr>
    </w:p>
    <w:p>
      <w:pPr>
        <w:jc w:val="center"/>
        <w:ind w:right="614"/>
        <w:spacing w:after="0"/>
        <w:rPr>
          <w:sz w:val="20"/>
          <w:szCs w:val="20"/>
          <w:color w:val="auto"/>
        </w:rPr>
      </w:pPr>
      <w:r>
        <w:rPr>
          <w:rFonts w:ascii="Arial" w:cs="Arial" w:eastAsia="Arial" w:hAnsi="Arial"/>
          <w:sz w:val="19"/>
          <w:szCs w:val="19"/>
          <w:b w:val="1"/>
          <w:bCs w:val="1"/>
          <w:color w:val="auto"/>
        </w:rPr>
        <w:t>ARTICLE XI.</w:t>
      </w:r>
    </w:p>
    <w:p>
      <w:pPr>
        <w:spacing w:after="0" w:line="175" w:lineRule="exact"/>
        <w:rPr>
          <w:sz w:val="20"/>
          <w:szCs w:val="20"/>
          <w:color w:val="auto"/>
        </w:rPr>
      </w:pPr>
    </w:p>
    <w:p>
      <w:pPr>
        <w:jc w:val="center"/>
        <w:ind w:right="614"/>
        <w:spacing w:after="0"/>
        <w:rPr>
          <w:sz w:val="20"/>
          <w:szCs w:val="20"/>
          <w:color w:val="auto"/>
        </w:rPr>
      </w:pPr>
      <w:r>
        <w:rPr>
          <w:rFonts w:ascii="Arial" w:cs="Arial" w:eastAsia="Arial" w:hAnsi="Arial"/>
          <w:sz w:val="19"/>
          <w:szCs w:val="19"/>
          <w:b w:val="1"/>
          <w:bCs w:val="1"/>
          <w:u w:val="single" w:color="auto"/>
          <w:color w:val="auto"/>
        </w:rPr>
        <w:t>Default and Remedies</w:t>
      </w:r>
    </w:p>
    <w:p>
      <w:pPr>
        <w:spacing w:after="0" w:line="168" w:lineRule="exact"/>
        <w:rPr>
          <w:sz w:val="20"/>
          <w:szCs w:val="20"/>
          <w:color w:val="auto"/>
        </w:rPr>
      </w:pPr>
    </w:p>
    <w:p>
      <w:pPr>
        <w:jc w:val="both"/>
        <w:ind w:left="6"/>
        <w:spacing w:after="0" w:line="28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Each of the following shall be considered for all purposes to be an event of default by Tenant under this Lease (an “</w:t>
      </w:r>
      <w:r>
        <w:rPr>
          <w:rFonts w:ascii="Arial" w:cs="Arial" w:eastAsia="Arial" w:hAnsi="Arial"/>
          <w:sz w:val="17"/>
          <w:szCs w:val="17"/>
          <w:u w:val="single" w:color="auto"/>
          <w:color w:val="auto"/>
        </w:rPr>
        <w:t>Event of Default</w:t>
      </w:r>
      <w:r>
        <w:rPr>
          <w:rFonts w:ascii="Arial" w:cs="Arial" w:eastAsia="Arial" w:hAnsi="Arial"/>
          <w:sz w:val="17"/>
          <w:szCs w:val="17"/>
          <w:color w:val="auto"/>
        </w:rPr>
        <w:t>”): (a) any failure of Tenant to pay any Rent or other amount when due hereunder and the continuance of such failure for five (5) days after notice from Landlord; (b) any failure by Tenant to perform or observe any other of the terms, provisions, conditions and covenants of this Lease for more than thirty (30) days after written notice of such failure is given by Landlord, or, in the event the act required to cure the non-performance cannot be accomplished within 30 days, to preclude a default, Tenant must commence the accomplishment of the necessary act within said period and thereafter proceed with diligence and good faith to accomplish the same;</w:t>
      </w:r>
    </w:p>
    <w:p>
      <w:pPr>
        <w:spacing w:after="0" w:line="2" w:lineRule="exact"/>
        <w:rPr>
          <w:sz w:val="20"/>
          <w:szCs w:val="20"/>
          <w:color w:val="auto"/>
        </w:rPr>
      </w:pPr>
    </w:p>
    <w:p>
      <w:pPr>
        <w:jc w:val="both"/>
        <w:ind w:left="6" w:hanging="6"/>
        <w:spacing w:after="0" w:line="301" w:lineRule="auto"/>
        <w:tabs>
          <w:tab w:leader="none" w:pos="30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bankruptcy or insolvency of Tenant or the filing by or against Tenant of a petition in bankruptcy or for reorganization or arrangement or for the appointment of a receiver or trustee of all or a portion of Tenant’s property, or Tenant makes an assignment for the benefit of creditors; or (d) this Lease or Tenant’s interest herein or in the Leased Premises or any improvements thereon or any property of Tenant located at the Leased Premises are executed upon or attached. Any notice given by Landlord above shall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86"/>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606"/>
          </w:cols>
          <w:pgMar w:left="954" w:top="1440" w:right="339" w:bottom="1440" w:gutter="0" w:footer="0" w:header="0"/>
        </w:sectPr>
      </w:pPr>
    </w:p>
    <w:bookmarkStart w:id="142" w:name="page143"/>
    <w:bookmarkEnd w:id="142"/>
    <w:p>
      <w:pPr>
        <w:spacing w:after="0" w:line="99"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lieu of, and not in addition to, any notice required under Section 1161 of the Code of Civil Procedure of California or any similar, superseding statute.</w:t>
      </w:r>
    </w:p>
    <w:p>
      <w:pPr>
        <w:spacing w:after="0" w:line="92"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Remedies</w:t>
      </w:r>
      <w:r>
        <w:rPr>
          <w:rFonts w:ascii="Arial" w:cs="Arial" w:eastAsia="Arial" w:hAnsi="Arial"/>
          <w:sz w:val="19"/>
          <w:szCs w:val="19"/>
          <w:color w:val="auto"/>
        </w:rPr>
        <w:t>. In the event of an Event of Default by Tenant, Landlord shall have, in its sole discretion, and in addition to any other remedies available to Landlord under this Lease, at law or in equity, the following rights:</w:t>
      </w:r>
    </w:p>
    <w:p>
      <w:pPr>
        <w:spacing w:after="0" w:line="92" w:lineRule="exact"/>
        <w:rPr>
          <w:sz w:val="20"/>
          <w:szCs w:val="20"/>
          <w:color w:val="auto"/>
        </w:rPr>
      </w:pPr>
    </w:p>
    <w:p>
      <w:pPr>
        <w:jc w:val="both"/>
        <w:ind w:left="620"/>
        <w:spacing w:after="0" w:line="288" w:lineRule="auto"/>
        <w:rPr>
          <w:sz w:val="20"/>
          <w:szCs w:val="20"/>
          <w:color w:val="auto"/>
        </w:rPr>
      </w:pPr>
      <w:r>
        <w:rPr>
          <w:rFonts w:ascii="Arial" w:cs="Arial" w:eastAsia="Arial" w:hAnsi="Arial"/>
          <w:sz w:val="19"/>
          <w:szCs w:val="19"/>
          <w:color w:val="auto"/>
        </w:rPr>
        <w:t>11.2.1 To cure any breach or perform any obligations of Tenant under this Lease and Tenant shall pay Landlord the cost thereof upon demand.</w:t>
      </w:r>
    </w:p>
    <w:p>
      <w:pPr>
        <w:spacing w:after="0" w:line="105" w:lineRule="exact"/>
        <w:rPr>
          <w:sz w:val="20"/>
          <w:szCs w:val="20"/>
          <w:color w:val="auto"/>
        </w:rPr>
      </w:pPr>
    </w:p>
    <w:p>
      <w:pPr>
        <w:jc w:val="both"/>
        <w:ind w:left="620"/>
        <w:spacing w:after="0" w:line="233" w:lineRule="exact"/>
        <w:rPr>
          <w:sz w:val="20"/>
          <w:szCs w:val="20"/>
          <w:color w:val="auto"/>
        </w:rPr>
      </w:pPr>
      <w:r>
        <w:rPr>
          <w:rFonts w:ascii="Arial" w:cs="Arial" w:eastAsia="Arial" w:hAnsi="Arial"/>
          <w:sz w:val="17"/>
          <w:szCs w:val="17"/>
          <w:color w:val="auto"/>
        </w:rPr>
        <w:t>11.2.2 To (a) re</w:t>
      </w:r>
      <w:r>
        <w:rPr>
          <w:rFonts w:ascii="MS PGothic" w:cs="MS PGothic" w:eastAsia="MS PGothic" w:hAnsi="MS PGothic"/>
          <w:sz w:val="17"/>
          <w:szCs w:val="17"/>
          <w:color w:val="auto"/>
        </w:rPr>
        <w:t>‑</w:t>
      </w:r>
      <w:r>
        <w:rPr>
          <w:rFonts w:ascii="Arial" w:cs="Arial" w:eastAsia="Arial" w:hAnsi="Arial"/>
          <w:sz w:val="17"/>
          <w:szCs w:val="17"/>
          <w:color w:val="auto"/>
        </w:rPr>
        <w:t>enter and repossess the Leased Premises or any part thereof by due process, summary proceedings, ejections or otherwise and (b) remove all persons and property therefrom, whether or not the Lease has been terminated, Tenant hereby expressly waiving any and all notices to quit, cure or vacate provided by current or any future law. Landlord shall have no liability by reason of any such re</w:t>
      </w:r>
      <w:r>
        <w:rPr>
          <w:rFonts w:ascii="MS PGothic" w:cs="MS PGothic" w:eastAsia="MS PGothic" w:hAnsi="MS PGothic"/>
          <w:sz w:val="17"/>
          <w:szCs w:val="17"/>
          <w:color w:val="auto"/>
        </w:rPr>
        <w:t>‑</w:t>
      </w:r>
      <w:r>
        <w:rPr>
          <w:rFonts w:ascii="Arial" w:cs="Arial" w:eastAsia="Arial" w:hAnsi="Arial"/>
          <w:sz w:val="17"/>
          <w:szCs w:val="17"/>
          <w:color w:val="auto"/>
        </w:rPr>
        <w:t>entry, repossession or removal, provided that any property shall be removed, stored and/or disposed of by Landlord in accordance with applicable law. No such re</w:t>
      </w:r>
      <w:r>
        <w:rPr>
          <w:rFonts w:ascii="MS PGothic" w:cs="MS PGothic" w:eastAsia="MS PGothic" w:hAnsi="MS PGothic"/>
          <w:sz w:val="17"/>
          <w:szCs w:val="17"/>
          <w:color w:val="auto"/>
        </w:rPr>
        <w:t>‑</w:t>
      </w:r>
      <w:r>
        <w:rPr>
          <w:rFonts w:ascii="Arial" w:cs="Arial" w:eastAsia="Arial" w:hAnsi="Arial"/>
          <w:sz w:val="17"/>
          <w:szCs w:val="17"/>
          <w:color w:val="auto"/>
        </w:rPr>
        <w:t>entry or taking of possession of the Leased Premises by Landlord shall be construed as an election on Landlord's part to terminate the Lease Term unless a written notice of such intention be given to Tenant. No notice from Landlord or notice given under a forcible entry and detainer statute or similar laws will constitute an election by Landlord to terminate the Lease Term unless such notice specifically so states.</w:t>
      </w:r>
    </w:p>
    <w:p>
      <w:pPr>
        <w:spacing w:after="0" w:line="136" w:lineRule="exact"/>
        <w:rPr>
          <w:sz w:val="20"/>
          <w:szCs w:val="20"/>
          <w:color w:val="auto"/>
        </w:rPr>
      </w:pPr>
    </w:p>
    <w:p>
      <w:pPr>
        <w:jc w:val="both"/>
        <w:ind w:left="620"/>
        <w:spacing w:after="0" w:line="288" w:lineRule="auto"/>
        <w:rPr>
          <w:sz w:val="20"/>
          <w:szCs w:val="20"/>
          <w:color w:val="auto"/>
        </w:rPr>
      </w:pPr>
      <w:r>
        <w:rPr>
          <w:rFonts w:ascii="Arial" w:cs="Arial" w:eastAsia="Arial" w:hAnsi="Arial"/>
          <w:sz w:val="17"/>
          <w:szCs w:val="17"/>
          <w:color w:val="auto"/>
        </w:rPr>
        <w:t>11.2.3 To terminate this Lease by reason of the occurrence of an Event of Default and Landlord shall be entitled to recover from Tenant, (a) the worth at the time of award of the unpaid rent which has been earned at the time of such termination; plus (b) the worth at the time of award of the amount by which the unpaid rent which would have been earned after termination until the time of award exceeds the amount of such rental loss that Tenant proves could have been reasonably avoided; plus (c) the worth at the time of award of the amount by which the unpaid rent for the balance of the Term after the time of award exceeds the amount of such rental loss that Tenant proves could have been reasonably avoided; plus (d) any other amount necessary to compensate Landlord for all the detriment proximately caused by Tenant's failure to perform its obligations under this Lease or which in the ordinary course of things would be likely to result therefrom; plus (e) at Landlord's election, such other amounts in addition to or in lieu of the foregoing as may be permitted from time to time by applicable law. The term "rent" as used in this Section shall be deemed to be and to mean all sums of every nature required to be paid by Tenant pursuant to the terms of this Lease, whether to Landlord or to others. As used in Sections 11.2.3(a) and (b), above, the "worth at the time of award" shall be computed by allowing interest at the Default Rate, but in no case greater than the maximum amount of such interest permitted by law. As used in Section 11.2.3(c) above, the "worth at the time of award" shall be computed by discounting such amount at the discount rate of the Federal Reserve Bank of San Francisco at the time of award plus one percent (1%).</w:t>
      </w:r>
    </w:p>
    <w:p>
      <w:pPr>
        <w:spacing w:after="0" w:line="112" w:lineRule="exact"/>
        <w:rPr>
          <w:sz w:val="20"/>
          <w:szCs w:val="20"/>
          <w:color w:val="auto"/>
        </w:rPr>
      </w:pPr>
    </w:p>
    <w:p>
      <w:pPr>
        <w:jc w:val="both"/>
        <w:ind w:left="620"/>
        <w:spacing w:after="0" w:line="266" w:lineRule="auto"/>
        <w:rPr>
          <w:sz w:val="20"/>
          <w:szCs w:val="20"/>
          <w:color w:val="auto"/>
        </w:rPr>
      </w:pPr>
      <w:r>
        <w:rPr>
          <w:rFonts w:ascii="Arial" w:cs="Arial" w:eastAsia="Arial" w:hAnsi="Arial"/>
          <w:sz w:val="19"/>
          <w:szCs w:val="19"/>
          <w:color w:val="auto"/>
        </w:rPr>
        <w:t>11.2.4 To assert the remedy described in California Civil Code Section 1951.4 (lessor may continue lease in effect after lessee's breach and abandonment and recover rent as it becomes due, if lessee has the right to sublet or assign, subject only to reasonable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0600"/>
          </w:cols>
          <w:pgMar w:left="960" w:top="1440" w:right="339" w:bottom="1440" w:gutter="0" w:footer="0" w:header="0"/>
        </w:sectPr>
      </w:pPr>
    </w:p>
    <w:bookmarkStart w:id="143" w:name="page144"/>
    <w:bookmarkEnd w:id="143"/>
    <w:p>
      <w:pPr>
        <w:spacing w:after="0" w:line="99" w:lineRule="exact"/>
        <w:rPr>
          <w:sz w:val="20"/>
          <w:szCs w:val="20"/>
          <w:color w:val="auto"/>
        </w:rPr>
      </w:pPr>
    </w:p>
    <w:p>
      <w:pPr>
        <w:jc w:val="both"/>
        <w:ind w:left="620" w:firstLine="629"/>
        <w:spacing w:after="0" w:line="259" w:lineRule="auto"/>
        <w:rPr>
          <w:sz w:val="20"/>
          <w:szCs w:val="20"/>
          <w:color w:val="auto"/>
        </w:rPr>
      </w:pPr>
      <w:r>
        <w:rPr>
          <w:rFonts w:ascii="Arial" w:cs="Arial" w:eastAsia="Arial" w:hAnsi="Arial"/>
          <w:sz w:val="19"/>
          <w:szCs w:val="19"/>
          <w:color w:val="auto"/>
        </w:rPr>
        <w:t>No termination of this Lease pursuant to Sections 11.2.3, by operation of law or otherwise, and no repossession of the Leased Premises or any part thereof, and no reletting of the Leased Premises or any part thereof, and no payment of any amounts by Tenant under Sections 11.2 or the exercise by Landlord of any of its other rights under Sections 11.2 shall relieve Tenant of either (i) its liabilities and obligations hereunder, all of which shall survive such expiration, termination, repossession, or reletting or (ii) any liabilities under this Lease which by express provision of this Lease survive such expiration, termination, repossession, or reletting.</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Default By Landlord</w:t>
      </w:r>
      <w:r>
        <w:rPr>
          <w:rFonts w:ascii="Arial" w:cs="Arial" w:eastAsia="Arial" w:hAnsi="Arial"/>
          <w:sz w:val="19"/>
          <w:szCs w:val="19"/>
          <w:color w:val="auto"/>
        </w:rPr>
        <w:t>. If Landlord defaults in the performance of any term, covenant or condition required to be performed by Landlord under this Lease, Landlord shall have thirty (30) days following written notice from Tenant specifying such default in which to cure such default, or, in the event the act required to cure the non-performance cannot be accomplished within 30 days, to preclude a default, Landlord must commence the accomplishment of the necessary act within said period and thereafter proceed with diligence and good faith to accomplish the same. Tenant shall be entitled to all rights and remedies available at law or in equity upon Landlord’s failure to cure such default.</w:t>
      </w:r>
    </w:p>
    <w:p>
      <w:pPr>
        <w:spacing w:after="0" w:line="1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Attorneys’ Fees</w:t>
      </w:r>
      <w:r>
        <w:rPr>
          <w:rFonts w:ascii="Arial" w:cs="Arial" w:eastAsia="Arial" w:hAnsi="Arial"/>
          <w:sz w:val="19"/>
          <w:szCs w:val="19"/>
          <w:color w:val="auto"/>
        </w:rPr>
        <w:t>. Should either party commence any legal action or proceeding against the other based upon this Lease, the prevailing party shall be entitled to an award of reasonable attorneys’ fees and other costs of litigation.</w:t>
      </w:r>
    </w:p>
    <w:p>
      <w:pPr>
        <w:spacing w:after="0" w:line="9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Tenant Waivers</w:t>
      </w:r>
      <w:r>
        <w:rPr>
          <w:rFonts w:ascii="Arial" w:cs="Arial" w:eastAsia="Arial" w:hAnsi="Arial"/>
          <w:sz w:val="17"/>
          <w:szCs w:val="17"/>
          <w:color w:val="auto"/>
        </w:rPr>
        <w:t>. Tenant hereby waives and surrenders for itself and all those claiming under it, including creditors of all kinds, (a) any right or privilege which it or any of them may have under any present or future constitution, statute or rule of law, including, without limitation, any rights under California Code of Civil Procedure Section 1174, California Code of Civil Procedure Section 1179, and California Civil Code Section 1950.7, to redeem the Leased Premises or to have a continuance of this Lease for the Term hereby demised or for a lesser period after termination of Tenant's right of occupancy by order or judgment of any court or by any legal process or writ, or under the terms of this Lease or after the termination of the Term of this Lease as herein provided, and (b) the benefits of any present or future constitution, statute or rule of law which exempts property from liability for debt or for distress for rent.</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Exculpatory Clause</w:t>
      </w:r>
      <w:r>
        <w:rPr>
          <w:rFonts w:ascii="Arial" w:cs="Arial" w:eastAsia="Arial" w:hAnsi="Arial"/>
          <w:sz w:val="18"/>
          <w:szCs w:val="18"/>
          <w:color w:val="auto"/>
        </w:rPr>
        <w:t>. Notwithstanding any provision of this Lease to the contrary, the liability of Landlord under and with respect to this Lease shall be limited to the interest of Landlord in the Leased Premises, and any judgment in favor of Tenant or any party claiming by, through or under Tenant against Landlord shall be collectible only out of Landlord's interest in the Leased Premises, and in no event shall any judgment for damages be entered against Landlord which is in excess of the value of such interest. Neither Landlord nor Tenant shall in any event be liable to the other party or any other person or entity for any consequential, special, or punitive damages or loss of business, revenue, income or profits and each party hereby waives any and all claims for any such damages. No individual who is Landlord or any member or partner of any joint venture, tenancy in common, firm, partnership or other form of joint ownership that is Landlord, or their heirs, personal representatives, executors, successors and assigns, shall have any personal liability to Tenant, or to any person claiming under or through Tenant, for any amount or in any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0600"/>
          </w:cols>
          <w:pgMar w:left="960" w:top="1440" w:right="339" w:bottom="1440" w:gutter="0" w:footer="0" w:header="0"/>
        </w:sectPr>
      </w:pPr>
    </w:p>
    <w:bookmarkStart w:id="144" w:name="page145"/>
    <w:bookmarkEnd w:id="144"/>
    <w:p>
      <w:pPr>
        <w:spacing w:after="0" w:line="93"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XII.</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Utilities; Repairs and Maintenance; Taxes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Utilities</w:t>
      </w:r>
      <w:r>
        <w:rPr>
          <w:rFonts w:ascii="Arial" w:cs="Arial" w:eastAsia="Arial" w:hAnsi="Arial"/>
          <w:sz w:val="19"/>
          <w:szCs w:val="19"/>
          <w:color w:val="auto"/>
        </w:rPr>
        <w:t>. Tenant shall pay all costs incurred for water, gas, electricity, telephone, and similar utilities and services provided to the Leased Premises during the Lease Term, provided that such utility costs and services incurred during the last month of the Lease Term shall be prorated between Landlord and Tenant based on the number of days during such month that each party was in possession of the Leased Premises.</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12.2</w:t>
      </w:r>
      <w:r>
        <w:rPr>
          <w:sz w:val="20"/>
          <w:szCs w:val="20"/>
          <w:color w:val="auto"/>
        </w:rPr>
        <w:tab/>
      </w:r>
      <w:r>
        <w:rPr>
          <w:rFonts w:ascii="Arial" w:cs="Arial" w:eastAsia="Arial" w:hAnsi="Arial"/>
          <w:sz w:val="17"/>
          <w:szCs w:val="17"/>
          <w:u w:val="single" w:color="auto"/>
          <w:color w:val="auto"/>
        </w:rPr>
        <w:t>Repairs and Maintenance</w:t>
      </w:r>
      <w:r>
        <w:rPr>
          <w:rFonts w:ascii="Arial" w:cs="Arial" w:eastAsia="Arial" w:hAnsi="Arial"/>
          <w:sz w:val="17"/>
          <w:szCs w:val="17"/>
          <w:color w:val="auto"/>
        </w:rPr>
        <w:t>.</w:t>
      </w:r>
    </w:p>
    <w:p>
      <w:pPr>
        <w:spacing w:after="0" w:line="162" w:lineRule="exact"/>
        <w:rPr>
          <w:sz w:val="20"/>
          <w:szCs w:val="20"/>
          <w:color w:val="auto"/>
        </w:rPr>
      </w:pPr>
    </w:p>
    <w:p>
      <w:pPr>
        <w:jc w:val="both"/>
        <w:ind w:left="620"/>
        <w:spacing w:after="0" w:line="276" w:lineRule="auto"/>
        <w:rPr>
          <w:sz w:val="20"/>
          <w:szCs w:val="20"/>
          <w:color w:val="auto"/>
        </w:rPr>
      </w:pPr>
      <w:r>
        <w:rPr>
          <w:rFonts w:ascii="Arial" w:cs="Arial" w:eastAsia="Arial" w:hAnsi="Arial"/>
          <w:sz w:val="18"/>
          <w:szCs w:val="18"/>
          <w:color w:val="auto"/>
        </w:rPr>
        <w:t>12.2.1 During the Lease Term, Tenant, at Tenant’s sole expense, shall be responsible for Routine Maintenance of the Leased Premises and landscaping, lawn services and all other grounds or similar maintenance of the grounds on the Leased Premises. If, during the Lease Term, Tenant’s failure to perform its obligations under this Section 12.2.1 is reasonably likely to result in criminal or civil liability to Landlord or additional damage to the Leased Premises, then Landlord may make any repairs and alterations required to limit such liability or damage, and in such case, Tenant shall promptly reimburse Landlord for any costs and expenses that Landlord may incur in making such repairs and alterations in and to the Leased Premises.</w:t>
      </w:r>
    </w:p>
    <w:p>
      <w:pPr>
        <w:spacing w:after="0" w:line="119" w:lineRule="exact"/>
        <w:rPr>
          <w:sz w:val="20"/>
          <w:szCs w:val="20"/>
          <w:color w:val="auto"/>
        </w:rPr>
      </w:pPr>
    </w:p>
    <w:p>
      <w:pPr>
        <w:jc w:val="both"/>
        <w:ind w:left="620"/>
        <w:spacing w:after="0" w:line="270" w:lineRule="auto"/>
        <w:rPr>
          <w:sz w:val="20"/>
          <w:szCs w:val="20"/>
          <w:color w:val="auto"/>
        </w:rPr>
      </w:pPr>
      <w:r>
        <w:rPr>
          <w:rFonts w:ascii="Arial" w:cs="Arial" w:eastAsia="Arial" w:hAnsi="Arial"/>
          <w:sz w:val="18"/>
          <w:szCs w:val="18"/>
          <w:color w:val="auto"/>
        </w:rPr>
        <w:t>12.2.2 Except as specifically set forth in this Section 12.2.2, neither Landlord nor Tenant shall be responsible for any Major Repairs during the Lease Term. However, if any Major Repairs are required to remedy any condition posing an imminent threat to human health or safety or otherwise reasonably likely to result in criminal or civil liability to Landlord (a “</w:t>
      </w:r>
      <w:r>
        <w:rPr>
          <w:rFonts w:ascii="Arial" w:cs="Arial" w:eastAsia="Arial" w:hAnsi="Arial"/>
          <w:sz w:val="18"/>
          <w:szCs w:val="18"/>
          <w:u w:val="single" w:color="auto"/>
          <w:color w:val="auto"/>
        </w:rPr>
        <w:t>Required Major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Repair</w:t>
      </w:r>
      <w:r>
        <w:rPr>
          <w:rFonts w:ascii="Arial" w:cs="Arial" w:eastAsia="Arial" w:hAnsi="Arial"/>
          <w:sz w:val="18"/>
          <w:szCs w:val="18"/>
          <w:color w:val="auto"/>
        </w:rPr>
        <w:t>”), Tenant may elect to perform such Required Major Repair within ten (10) days after receipt of notice from Landlord of the need for such Required Major Repair. If Tenant promptly commences and diligently pursues the Required Major Repair within such ten (10) day period, Landlord shall reimburse Tenant for fifty percent (50%) of the cost of such Required Major Repair, which reimbursement shall be made within thirty (30) days after the completion of such work and delivery of lien waivers reasonably satisfactory to Landlord. If Tenant does not promptly commence and diligently pursue such Required Major Repair within such ten (10) day period, this Lease shall automatically terminate upon the expiration of such ten (10) day period. As of the date of this Lease, Landlord and Tenant acknowledge that no condition requiring a Required Major Repair exists. Tenant shall give Landlord prompt notice of any condition requiring a Required Major Repair. For the avoidance of doubt, Tenant (at Tenant’s sole cost and expense) shall be responsible for remedying any condition posing an imminent threat to human health or safety or otherwise reasonably likely to result in criminal or civil liability to Landlord, in which the cost of the necessary repairs or replacements are less than $100,000.</w:t>
      </w:r>
    </w:p>
    <w:p>
      <w:pPr>
        <w:spacing w:after="0" w:line="123"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12.3 Tenant shall pay all real estate ad valorem taxes, assessments, license fees and public charges (“</w:t>
      </w:r>
      <w:r>
        <w:rPr>
          <w:rFonts w:ascii="Arial" w:cs="Arial" w:eastAsia="Arial" w:hAnsi="Arial"/>
          <w:sz w:val="17"/>
          <w:szCs w:val="17"/>
          <w:u w:val="single" w:color="auto"/>
          <w:color w:val="auto"/>
        </w:rPr>
        <w:t>Taxes</w:t>
      </w:r>
      <w:r>
        <w:rPr>
          <w:rFonts w:ascii="Arial" w:cs="Arial" w:eastAsia="Arial" w:hAnsi="Arial"/>
          <w:sz w:val="17"/>
          <w:szCs w:val="17"/>
          <w:color w:val="auto"/>
        </w:rPr>
        <w:t>”) levied, assessed or imposed with respect to the Lease Term on the Leased Premises. Any such Taxes attributable to part of a fiscal year of a taxing authority which is included within the Lease Term and a part of which is included within a period of time or after the end of the Lease Term shall be adjusted by Landlord and Tenant as of the commencement or end of the Lease Term so that Tenant shall only pay that portion of Taxes accruing with respect to the Lease Term and Landlord shall pay the remainder. Tenant shall also pay all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600"/>
          </w:cols>
          <w:pgMar w:left="960" w:top="1440" w:right="339" w:bottom="1440" w:gutter="0" w:footer="0" w:header="0"/>
        </w:sectPr>
      </w:pPr>
    </w:p>
    <w:bookmarkStart w:id="145" w:name="page146"/>
    <w:bookmarkEnd w:id="145"/>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ad valorem taxes, assessments, license fees imposed, charges levied, assessed or imposed during the Lease Term on Tenant’s Personal Property and Fixtures.</w:t>
      </w:r>
    </w:p>
    <w:p>
      <w:pPr>
        <w:spacing w:after="0" w:line="9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Other Taxes</w:t>
      </w:r>
      <w:r>
        <w:rPr>
          <w:rFonts w:ascii="Arial" w:cs="Arial" w:eastAsia="Arial" w:hAnsi="Arial"/>
          <w:sz w:val="19"/>
          <w:szCs w:val="19"/>
          <w:color w:val="auto"/>
        </w:rPr>
        <w:t>. Tenant shall pay all sales, excise, use or other similar taxes imposed during the Lease Term arising out of Tenant’s use of the Leased Premises.</w:t>
      </w:r>
    </w:p>
    <w:p>
      <w:pPr>
        <w:spacing w:after="0" w:line="86"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XIII.</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Subordination; Estoppel Certificates; Landlord’s Lien</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Subordination</w:t>
      </w:r>
      <w:r>
        <w:rPr>
          <w:rFonts w:ascii="Arial" w:cs="Arial" w:eastAsia="Arial" w:hAnsi="Arial"/>
          <w:sz w:val="17"/>
          <w:szCs w:val="17"/>
          <w:color w:val="auto"/>
        </w:rPr>
        <w:t>. Tenant accepts this Lease subject and subordinate to any mortgage, deed of trust, ground lease or other lien presently existing or hereafter arising upon the Leased Premises (each, a “</w:t>
      </w:r>
      <w:r>
        <w:rPr>
          <w:rFonts w:ascii="Arial" w:cs="Arial" w:eastAsia="Arial" w:hAnsi="Arial"/>
          <w:sz w:val="17"/>
          <w:szCs w:val="17"/>
          <w:u w:val="single" w:color="auto"/>
          <w:color w:val="auto"/>
        </w:rPr>
        <w:t>Superior Lien</w:t>
      </w:r>
      <w:r>
        <w:rPr>
          <w:rFonts w:ascii="Arial" w:cs="Arial" w:eastAsia="Arial" w:hAnsi="Arial"/>
          <w:sz w:val="17"/>
          <w:szCs w:val="17"/>
          <w:color w:val="auto"/>
        </w:rPr>
        <w:t>”), and to any renewals and extensions thereof. Landlord shall use good faith efforts to request the holder of such Superior Lien to execute and deliver to Tenant such holder’s written nondisturbance agreement (in form and substance reasonably acceptable to Tenant) that (a) provided there is no uncured default hereunder, in the event of a foreclosure, or if Landlord conveys the Leased Premises in lieu of a foreclosure, the Lease will continue between Tenant and Landlord’s successors, who shall assume Landlord’s obligations under this Lease, and (b) Tenant will not be made a party to any foreclosure action except as may be necessary by law, and Tenant’s possession of the Premises will not be disturbed.</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Estoppel Certificates</w:t>
      </w:r>
      <w:r>
        <w:rPr>
          <w:rFonts w:ascii="Arial" w:cs="Arial" w:eastAsia="Arial" w:hAnsi="Arial"/>
          <w:sz w:val="18"/>
          <w:szCs w:val="18"/>
          <w:color w:val="auto"/>
        </w:rPr>
        <w:t>. Each party shall, from time to time, within ten (10) days after request from the other party, or from any mortgagee of Landlord, execute, acknowledge and deliver in recordable form a certificate certifying, to the extent true, that this Lease is in full force and effect and unmodified (or, if there have been modifications, that the same is in full force and effect as modified and stating the modifications); that the Lease Term has commenced and setting forth the full amount of the Rent then accruing hereunder; the dates to which the Rent has been paid; that Tenant has accepted possession of the Leased Premises; that the address for notices to be sent to Tenant is as set forth in this Lease (or has been changed by notice duly given and is as set forth in the certificate); that Tenant, as of the date of such certificate, has no charge, lien, or claim of offset under this Lease or otherwise against Rent or other charges due or to become due hereunder; that, to the knowledge of the party issuing the certificate, that the other party is not then in default under this Lease; and such other matters as may be reasonably requested by Tenant, Landlord or any mortgagee of Landlord. Any such certificate may be relied upon by Landlord or any mortgagee of Landlord.</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Landlord’s Lien</w:t>
      </w:r>
      <w:r>
        <w:rPr>
          <w:rFonts w:ascii="Arial" w:cs="Arial" w:eastAsia="Arial" w:hAnsi="Arial"/>
          <w:sz w:val="18"/>
          <w:szCs w:val="18"/>
          <w:color w:val="auto"/>
        </w:rPr>
        <w:t xml:space="preserve">. Landlord waives any liens or security interests, whether created by statute or otherwise, on Tenant’s Personal Property and Trade Fixtures. Upon Tenant’s request, Landlord agrees to promptly execute and deliver from time to time a landlord consent and waiver, in favor of Tenant’s lender, in a form acceptable to Tenant. The current form of Tenant’s required landlord consent and waiver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which Landlord shall execute and deliver to Tenant on the date hereof.</w:t>
      </w:r>
    </w:p>
    <w:p>
      <w:pPr>
        <w:spacing w:after="0" w:line="110"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color w:val="auto"/>
        </w:rPr>
        <w:t>ARTICLE IV.</w:t>
      </w:r>
    </w:p>
    <w:p>
      <w:pPr>
        <w:spacing w:after="0" w:line="175" w:lineRule="exact"/>
        <w:rPr>
          <w:sz w:val="20"/>
          <w:szCs w:val="20"/>
          <w:color w:val="auto"/>
        </w:rPr>
      </w:pPr>
    </w:p>
    <w:p>
      <w:pPr>
        <w:jc w:val="center"/>
        <w:ind w:right="620"/>
        <w:spacing w:after="0"/>
        <w:rPr>
          <w:sz w:val="20"/>
          <w:szCs w:val="20"/>
          <w:color w:val="auto"/>
        </w:rPr>
      </w:pPr>
      <w:r>
        <w:rPr>
          <w:rFonts w:ascii="Arial" w:cs="Arial" w:eastAsia="Arial" w:hAnsi="Arial"/>
          <w:sz w:val="19"/>
          <w:szCs w:val="19"/>
          <w:b w:val="1"/>
          <w:bCs w:val="1"/>
          <w:u w:val="single" w:color="auto"/>
          <w:color w:val="auto"/>
        </w:rPr>
        <w:t>Miscellaneous Provisions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Controlling Law; Venue; Waiver of Jury Trial</w:t>
      </w:r>
      <w:r>
        <w:rPr>
          <w:rFonts w:ascii="Arial" w:cs="Arial" w:eastAsia="Arial" w:hAnsi="Arial"/>
          <w:sz w:val="19"/>
          <w:szCs w:val="19"/>
          <w:color w:val="auto"/>
        </w:rPr>
        <w:t>. The terms and provisions of this Lease shall be construed in accordance with the internal laws of the State of California. By the execution and delivery of this Lease, each of the parties hereto hereby irrevocably and unconditionally agrees for itself that any legal action, suit, or proceeding against it with respect to any matter arising under or out of or in connection with this Lease or for recognition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600"/>
          </w:cols>
          <w:pgMar w:left="960" w:top="1440" w:right="339" w:bottom="1440" w:gutter="0" w:footer="0" w:header="0"/>
        </w:sectPr>
      </w:pPr>
    </w:p>
    <w:bookmarkStart w:id="146" w:name="page147"/>
    <w:bookmarkEnd w:id="146"/>
    <w:p>
      <w:pPr>
        <w:spacing w:after="0" w:line="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enforcement of any judgment rendered in any such action, suit, or proceeding may be brought in either a state or federal court of competent jurisdiction in the Orange County, California. By the execution and delivery of this Agreement, each of the parties hereto hereby irrevocably accepts and submits itself to the exclusive jurisdiction of each such court, generally and unconditionally, with respect to any such action, suit, or proceeding. By executing and delivering this Lease, each of the parties hereto irrevocably and unconditionally submits to the personal jurisdiction of each such court described in this Section 14.1, solely for purposes of any action, suit, or proceeding arising out of or relating to this Lease or for the recognition or enforcement of any judgment rendered or order entered in any such action, suit, or proceeding. TO THE MAXIMUM EXTENT PERMITTED BY LAW, EACH PARTY HERETO UNCONDITIONALLY WAIVES TRIAL BY JURY IN ANY ACTION, SUIT, OR PROCEEDING REFERRED TO ABOVE. Each party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Lease by, among other things, the mutual waivers and certifications in this Section 14.1.</w:t>
      </w:r>
    </w:p>
    <w:p>
      <w:pPr>
        <w:spacing w:after="0" w:line="12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14.2</w:t>
      </w:r>
      <w:r>
        <w:rPr>
          <w:sz w:val="20"/>
          <w:szCs w:val="20"/>
          <w:color w:val="auto"/>
        </w:rPr>
        <w:tab/>
      </w:r>
      <w:r>
        <w:rPr>
          <w:rFonts w:ascii="Arial" w:cs="Arial" w:eastAsia="Arial" w:hAnsi="Arial"/>
          <w:sz w:val="17"/>
          <w:szCs w:val="17"/>
          <w:u w:val="single" w:color="auto"/>
          <w:color w:val="auto"/>
        </w:rPr>
        <w:t>No Memorandum</w:t>
      </w:r>
      <w:r>
        <w:rPr>
          <w:rFonts w:ascii="Arial" w:cs="Arial" w:eastAsia="Arial" w:hAnsi="Arial"/>
          <w:sz w:val="17"/>
          <w:szCs w:val="17"/>
          <w:color w:val="auto"/>
        </w:rPr>
        <w:t>. No memorandum of this Lease shall be recorded.</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Cumulative Remedies</w:t>
      </w:r>
      <w:r>
        <w:rPr>
          <w:rFonts w:ascii="Arial" w:cs="Arial" w:eastAsia="Arial" w:hAnsi="Arial"/>
          <w:sz w:val="19"/>
          <w:szCs w:val="19"/>
          <w:color w:val="auto"/>
        </w:rPr>
        <w:t>. Except as specifically otherwise provided in this Lease, no remedy or election in this Lease shall be deemed exclusive, but shall, wherever possible, be cumulative with all other remedies in law or equity.</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Partial Invalidity</w:t>
      </w:r>
      <w:r>
        <w:rPr>
          <w:rFonts w:ascii="Arial" w:cs="Arial" w:eastAsia="Arial" w:hAnsi="Arial"/>
          <w:sz w:val="19"/>
          <w:szCs w:val="19"/>
          <w:color w:val="auto"/>
        </w:rPr>
        <w:t>. If any term, covenant, condition, or provision of this Lease is held by a court of competent jurisdiction to be invalid, void or unenforceable, the remainder of the provisions shall remain in full force and effect and shall in no way be affected, impaired or invalidated.</w:t>
      </w:r>
    </w:p>
    <w:p>
      <w:pPr>
        <w:spacing w:after="0" w:line="104"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Lease and the Purchase and Sale Agreement between Landlord and Tenant, dated June 9, 2022 constitute the entire agreement between the parties, and there are no other agreements or understandings regarding the Leased Premises. This is a fully integrated Agreement and any oral terms discussed by the parties either before execution of this Lease or thereafter, as well as any prior writings not expressly incorporated into this Lease shall not be considered to be a part of this agreement.</w:t>
      </w:r>
    </w:p>
    <w:p>
      <w:pPr>
        <w:spacing w:after="0" w:line="85"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Lease may be amended at any time, but only by an instrument in writing executed by Landlord and Tenant. Either party to the Lease may, by giving notice, waive any requirement to be performed by the other under this Lease.</w:t>
      </w:r>
    </w:p>
    <w:p>
      <w:pPr>
        <w:spacing w:after="0" w:line="8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14.7</w:t>
      </w:r>
      <w:r>
        <w:rPr>
          <w:sz w:val="20"/>
          <w:szCs w:val="20"/>
          <w:color w:val="auto"/>
        </w:rPr>
        <w:tab/>
      </w:r>
      <w:r>
        <w:rPr>
          <w:rFonts w:ascii="Arial" w:cs="Arial" w:eastAsia="Arial" w:hAnsi="Arial"/>
          <w:sz w:val="17"/>
          <w:szCs w:val="17"/>
          <w:u w:val="single" w:color="auto"/>
          <w:color w:val="auto"/>
        </w:rPr>
        <w:t>Time Of Essence</w:t>
      </w:r>
      <w:r>
        <w:rPr>
          <w:rFonts w:ascii="Arial" w:cs="Arial" w:eastAsia="Arial" w:hAnsi="Arial"/>
          <w:sz w:val="17"/>
          <w:szCs w:val="17"/>
          <w:color w:val="auto"/>
        </w:rPr>
        <w:t>. Time is of the essence of this Lease and every provision hereof.</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Each and all of the covenants, conditions, and restrictions in this Lease shall inure to the benefit of, and shall be binding upon, the successors in interest and permitted assigns. Tenant may assign this Lease or sublease any portion of the Leased Premises to its Affiliates without Landlord’s consent, but may not otherwise assign (by operation of law or otherwise) this Lease or sublease any portion of the Leased Premises without the written consent of Landlord, which consent shall not be unreasonably withheld or delayed. Any attempted assignment of this Lease or sublease of any portion of the Leased Premises in violation of this Section 14.8 shall be void and constitute an Event of Default by Tenant. Tenant hereby waives (for itself and all persons claiming under Tenant) the provisions of California Civil Code Section 1995.310.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0600"/>
          </w:cols>
          <w:pgMar w:left="960" w:top="1440" w:right="339" w:bottom="1440" w:gutter="0" w:footer="0" w:header="0"/>
        </w:sectPr>
      </w:pPr>
    </w:p>
    <w:bookmarkStart w:id="147" w:name="page148"/>
    <w:bookmarkEnd w:id="147"/>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14.9 </w:t>
      </w:r>
      <w:r>
        <w:rPr>
          <w:rFonts w:ascii="Arial" w:cs="Arial" w:eastAsia="Arial" w:hAnsi="Arial"/>
          <w:sz w:val="19"/>
          <w:szCs w:val="19"/>
          <w:u w:val="single" w:color="auto"/>
          <w:color w:val="auto"/>
        </w:rPr>
        <w:t>Relationship Of Parties</w:t>
      </w:r>
      <w:r>
        <w:rPr>
          <w:rFonts w:ascii="Arial" w:cs="Arial" w:eastAsia="Arial" w:hAnsi="Arial"/>
          <w:sz w:val="19"/>
          <w:szCs w:val="19"/>
          <w:color w:val="auto"/>
        </w:rPr>
        <w:t>. Nothing contained in this Lease shall be deemed or construed by the parties or any third person, to create a relationship of principal and agent, or a partnership, joint venture, or association between Landlord and Tenant.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u w:val="single" w:color="auto"/>
          <w:color w:val="auto"/>
        </w:rPr>
        <w:t>Captions; Construction</w:t>
      </w:r>
      <w:r>
        <w:rPr>
          <w:rFonts w:ascii="Arial" w:cs="Arial" w:eastAsia="Arial" w:hAnsi="Arial"/>
          <w:sz w:val="19"/>
          <w:szCs w:val="19"/>
          <w:color w:val="auto"/>
        </w:rPr>
        <w:t>. The captions in this Lease are for convenience only, and shall not limit or amplify or otherwise constitute a part of the provisions of the Lease. In the construction and interpretation of this Lease, the rule of construction in that documents can be construed most strictly against the party who prepared it shall not be applied because both parties have participated in the preparation of this Lease. Accordingly, the parties waive the effect of California Civil Code Section 1654 which interprets uncertainties in a contract against the party who drafted the contract.</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Signage</w:t>
      </w:r>
      <w:r>
        <w:rPr>
          <w:rFonts w:ascii="Arial" w:cs="Arial" w:eastAsia="Arial" w:hAnsi="Arial"/>
          <w:sz w:val="19"/>
          <w:szCs w:val="19"/>
          <w:color w:val="auto"/>
        </w:rPr>
        <w:t>. Tenant is entitled to maintain the signage, placards, pictures, names, notices, letterings, door signs, window coverings, awnings, or other projections (“</w:t>
      </w:r>
      <w:r>
        <w:rPr>
          <w:rFonts w:ascii="Arial" w:cs="Arial" w:eastAsia="Arial" w:hAnsi="Arial"/>
          <w:sz w:val="19"/>
          <w:szCs w:val="19"/>
          <w:u w:val="single" w:color="auto"/>
          <w:color w:val="auto"/>
        </w:rPr>
        <w:t>Signage</w:t>
      </w:r>
      <w:r>
        <w:rPr>
          <w:rFonts w:ascii="Arial" w:cs="Arial" w:eastAsia="Arial" w:hAnsi="Arial"/>
          <w:sz w:val="19"/>
          <w:szCs w:val="19"/>
          <w:color w:val="auto"/>
        </w:rPr>
        <w:t>”) on the Leased Premises as exist as of the Commencement Date. The installation of any additional signage will be subject to Landlord’s reasonable prior approval. Tenant shall remove all Signage at the termination of this Lease. The cost and installation of all Signage shall be at the sole expense of Tenant.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u w:val="single" w:color="auto"/>
          <w:color w:val="auto"/>
        </w:rPr>
        <w:t>Counterparts</w:t>
      </w:r>
      <w:r>
        <w:rPr>
          <w:rFonts w:ascii="Arial" w:cs="Arial" w:eastAsia="Arial" w:hAnsi="Arial"/>
          <w:sz w:val="19"/>
          <w:szCs w:val="19"/>
          <w:color w:val="auto"/>
        </w:rPr>
        <w:t>. This Lease may be executed simultaneously in one or more counterparts, each of which shall be deemed an original, but all of which together shall constitute one and the same instrument. The exchange of copies of this Lease and of signature pages by electronic means, including PDF e-mail shall constitute effective execution and delivery of this Lease as to the parties and may be used in lieu of the original Lease for all purposes. Signatures of the parties transmitted by electronic means, including PDF, shall be deemed to be their original signatures for all purposes.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contemplated by this Lease shall be in writing and shall be deemed to have been given when (a) personally delivered in return for a receipt, (b) mailed by registered or certified mail, return receipt requested,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 sent by a recognized overnight courier service, or (d) sent by electronic means as follows:</w:t>
      </w:r>
    </w:p>
    <w:p>
      <w:pPr>
        <w:spacing w:after="0" w:line="38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To Tenant: Matrix Service Inc.</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5100 E. Skelly Drive, Suite 100</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Tulsa, Oklahoma 74135</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Attention: Justin Sheets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Email: jsheets@matrixservicecompany.com</w:t>
      </w:r>
    </w:p>
    <w:p>
      <w:pPr>
        <w:spacing w:after="0" w:line="38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To Landlord: PISCES 500 W COLLINS AVE LLC</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c/o Brookfield Property Group</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Brookfield Place</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250 Vesey Street</w:t>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New York, New York 10281-1023</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Attention:</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0600"/>
          </w:cols>
          <w:pgMar w:left="960" w:top="1440" w:right="339" w:bottom="1440" w:gutter="0" w:footer="0" w:header="0"/>
        </w:sectPr>
      </w:pPr>
    </w:p>
    <w:bookmarkStart w:id="148" w:name="page149"/>
    <w:bookmarkEnd w:id="148"/>
    <w:p>
      <w:pPr>
        <w:spacing w:after="0" w:line="9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or to such other person or address as either party shall hereafter designate from time to time by similar notice. Such notices or communications shall be deemed given on personal delivery in return for a receipt, on the third (3</w:t>
      </w:r>
      <w:r>
        <w:rPr>
          <w:rFonts w:ascii="Arial" w:cs="Arial" w:eastAsia="Arial" w:hAnsi="Arial"/>
          <w:sz w:val="24"/>
          <w:szCs w:val="24"/>
          <w:color w:val="auto"/>
          <w:vertAlign w:val="superscript"/>
        </w:rPr>
        <w:t>rd</w:t>
      </w:r>
      <w:r>
        <w:rPr>
          <w:rFonts w:ascii="Arial" w:cs="Arial" w:eastAsia="Arial" w:hAnsi="Arial"/>
          <w:sz w:val="19"/>
          <w:szCs w:val="19"/>
          <w:color w:val="auto"/>
        </w:rPr>
        <w:t>) business day after depositing with the U.S. mail, on the next business day after being deposited with the recognized overnight courier service, or on the date sent by electronic transmission during normal business hours (otherwise on the next business day).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the parties have executed this Lease to be delivered and effective as of the date and year first above written.</w:t>
      </w:r>
    </w:p>
    <w:p>
      <w:pPr>
        <w:spacing w:after="0" w:line="192" w:lineRule="exact"/>
        <w:rPr>
          <w:sz w:val="20"/>
          <w:szCs w:val="20"/>
          <w:color w:val="auto"/>
        </w:rPr>
      </w:pPr>
    </w:p>
    <w:p>
      <w:pPr>
        <w:ind w:left="3580"/>
        <w:spacing w:after="0"/>
        <w:rPr>
          <w:sz w:val="20"/>
          <w:szCs w:val="20"/>
          <w:color w:val="auto"/>
        </w:rPr>
      </w:pP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68"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MATRIX SERVICE INC.,</w:t>
      </w:r>
    </w:p>
    <w:p>
      <w:pPr>
        <w:spacing w:after="0" w:line="175"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an Oklahoma corporation</w:t>
      </w:r>
    </w:p>
    <w:p>
      <w:pPr>
        <w:spacing w:after="0" w:line="200" w:lineRule="exact"/>
        <w:rPr>
          <w:sz w:val="20"/>
          <w:szCs w:val="20"/>
          <w:color w:val="auto"/>
        </w:rPr>
      </w:pPr>
    </w:p>
    <w:p>
      <w:pPr>
        <w:spacing w:after="0" w:line="355"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By:</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Kevin S. Cavanah, CFO</w:t>
      </w:r>
    </w:p>
    <w:p>
      <w:pPr>
        <w:spacing w:after="0" w:line="200" w:lineRule="exact"/>
        <w:rPr>
          <w:sz w:val="20"/>
          <w:szCs w:val="20"/>
          <w:color w:val="auto"/>
        </w:rPr>
      </w:pPr>
    </w:p>
    <w:p>
      <w:pPr>
        <w:spacing w:after="0" w:line="362" w:lineRule="exact"/>
        <w:rPr>
          <w:sz w:val="20"/>
          <w:szCs w:val="20"/>
          <w:color w:val="auto"/>
        </w:rPr>
      </w:pPr>
    </w:p>
    <w:p>
      <w:pPr>
        <w:ind w:left="3580"/>
        <w:spacing w:after="0"/>
        <w:rPr>
          <w:sz w:val="20"/>
          <w:szCs w:val="20"/>
          <w:color w:val="auto"/>
        </w:rPr>
      </w:pPr>
      <w:r>
        <w:rPr>
          <w:rFonts w:ascii="Arial" w:cs="Arial" w:eastAsia="Arial" w:hAnsi="Arial"/>
          <w:sz w:val="19"/>
          <w:szCs w:val="19"/>
          <w:b w:val="1"/>
          <w:bCs w:val="1"/>
          <w:color w:val="auto"/>
        </w:rPr>
        <w:t>LANDLORD</w:t>
      </w:r>
      <w:r>
        <w:rPr>
          <w:rFonts w:ascii="Arial" w:cs="Arial" w:eastAsia="Arial" w:hAnsi="Arial"/>
          <w:sz w:val="19"/>
          <w:szCs w:val="19"/>
          <w:color w:val="auto"/>
        </w:rPr>
        <w:t>:</w:t>
      </w:r>
    </w:p>
    <w:p>
      <w:pPr>
        <w:spacing w:after="0" w:line="168"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PISCES 500 W COLLINS AVE LLC,</w:t>
      </w:r>
    </w:p>
    <w:p>
      <w:pPr>
        <w:spacing w:after="0" w:line="175"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a Delaware limited liability company</w:t>
      </w:r>
    </w:p>
    <w:p>
      <w:pPr>
        <w:spacing w:after="0" w:line="200" w:lineRule="exact"/>
        <w:rPr>
          <w:sz w:val="20"/>
          <w:szCs w:val="20"/>
          <w:color w:val="auto"/>
        </w:rPr>
      </w:pPr>
    </w:p>
    <w:p>
      <w:pPr>
        <w:spacing w:after="0" w:line="355"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By:</w:t>
      </w:r>
    </w:p>
    <w:p>
      <w:pPr>
        <w:spacing w:after="0" w:line="175"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Name: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0840"/>
          </w:cols>
          <w:pgMar w:left="520" w:top="1440" w:right="539" w:bottom="1440" w:gutter="0" w:footer="0" w:header="0"/>
        </w:sectPr>
      </w:pPr>
    </w:p>
    <w:bookmarkStart w:id="150" w:name="page151"/>
    <w:bookmarkEnd w:id="150"/>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Exhibit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DESCRIPTION OF LEASED PREMISES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DESCRIBED REAL PROPERTY IN THE CITY OF ORANGE, COUNTY OF ORANGE, STATE OF CALIFORNIA:</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PARCEL 1 OF PARCEL MAP NO. 2007-130, IN THE CITY OF ORANGE, COUNTY OF ORANGE, STATE OF CALIFORNIA, AS PER MAP RECORDED IN BOOK 363, PAGES 6 AND 7 OF PARCEL MAPS, IN THE OFFICE OF THE COUNTY RECORDER OF SAID COUNTY.</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APN: 386-581-18</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PARCEL 2 OF PARCEL MAP NO. 2007-130, IN THE CITY OF ORANGE, COUNTY OF ORANGE, STATE OF CALIFORNIA, AS PER MAP RECORDED IN BOOK 363, PAGES 6 AND 7 OF PARCEL MAPS, IN THE OFFICE OF THE COUNTY RECORDER OF SAID COUNTY.</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color w:val="auto"/>
        </w:rPr>
        <w:t>APN: 386-561-02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“B”</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LANDLORD CONSENT AND WAIVER</w:t>
      </w: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Landlord Waiver (this “Waiver”) is entered into as of ___________, 2022 between PISCES LOGISTICS ACQUISTION LLC, a</w:t>
      </w:r>
    </w:p>
    <w:p>
      <w:pPr>
        <w:spacing w:after="0" w:line="38"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Delaware limited liability company (together with its successors and assigns, “Landlord”), MATRIX SERVICE INC., an Oklahoma corporation (together with its successors and assigns, “Company”), and BANK OF MONTREAL, as agent for itself and certain other lenders party to the Loan Documents (as defined below) (together with its successors and assigns, in such capacity, the “Agent”).</w:t>
      </w:r>
    </w:p>
    <w:p>
      <w:pPr>
        <w:spacing w:after="0" w:line="130"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Landlord is the owner of the real property known by APN 386-581-18, in the City of Orange, County of Orange, State of California, as more particularly described in the Lease (the “Leased Premises”).</w:t>
      </w:r>
    </w:p>
    <w:p>
      <w:pPr>
        <w:spacing w:after="0" w:line="117" w:lineRule="exact"/>
        <w:rPr>
          <w:sz w:val="20"/>
          <w:szCs w:val="20"/>
          <w:color w:val="auto"/>
        </w:rPr>
      </w:pPr>
    </w:p>
    <w:p>
      <w:pPr>
        <w:jc w:val="both"/>
        <w:ind w:firstLine="629"/>
        <w:spacing w:after="0" w:line="266" w:lineRule="auto"/>
        <w:rPr>
          <w:sz w:val="20"/>
          <w:szCs w:val="20"/>
          <w:color w:val="auto"/>
        </w:rPr>
      </w:pPr>
      <w:r>
        <w:rPr>
          <w:rFonts w:ascii="Arial" w:cs="Arial" w:eastAsia="Arial" w:hAnsi="Arial"/>
          <w:sz w:val="19"/>
          <w:szCs w:val="19"/>
          <w:color w:val="auto"/>
        </w:rPr>
        <w:t>Landlord has entered into that certain Lease Agreement dated substantially concurrently herewith (together with any renewals, extensions, amendments, modifications, substitutions or replacements thereof, the “Lease”) with the Company, with respect to the Leased Premises.</w:t>
      </w:r>
    </w:p>
    <w:p>
      <w:pPr>
        <w:spacing w:after="0" w:line="126" w:lineRule="exact"/>
        <w:rPr>
          <w:sz w:val="20"/>
          <w:szCs w:val="20"/>
          <w:color w:val="auto"/>
        </w:rPr>
      </w:pPr>
    </w:p>
    <w:p>
      <w:pPr>
        <w:jc w:val="both"/>
        <w:ind w:firstLine="629"/>
        <w:spacing w:after="0" w:line="259" w:lineRule="auto"/>
        <w:rPr>
          <w:sz w:val="20"/>
          <w:szCs w:val="20"/>
          <w:color w:val="auto"/>
        </w:rPr>
      </w:pPr>
      <w:r>
        <w:rPr>
          <w:rFonts w:ascii="Arial" w:cs="Arial" w:eastAsia="Arial" w:hAnsi="Arial"/>
          <w:sz w:val="19"/>
          <w:szCs w:val="19"/>
          <w:color w:val="auto"/>
        </w:rPr>
        <w:t>The Company and certain of its affiliates have entered, and may from time to time enter, into a loan agreement and other documents (collectively, the “Loan Documents”) evidencing a financing arrangement with Agent. The Company has also agreed to secure its obligations and liabilities under the Loan Documents (the “Obligations”) by granting a security interest to Agent, for the benefit of the lenders, in all of the Company’s property and all products and proceeds of the foregoing, as more fully described in the Loan Documents (collectively, the “Collateral”).</w:t>
      </w:r>
    </w:p>
    <w:p>
      <w:pPr>
        <w:spacing w:after="0" w:line="132" w:lineRule="exact"/>
        <w:rPr>
          <w:sz w:val="20"/>
          <w:szCs w:val="20"/>
          <w:color w:val="auto"/>
        </w:rPr>
      </w:pPr>
    </w:p>
    <w:p>
      <w:pPr>
        <w:jc w:val="both"/>
        <w:ind w:firstLine="629"/>
        <w:spacing w:after="0" w:line="274" w:lineRule="auto"/>
        <w:rPr>
          <w:sz w:val="20"/>
          <w:szCs w:val="20"/>
          <w:color w:val="auto"/>
        </w:rPr>
      </w:pPr>
      <w:r>
        <w:rPr>
          <w:rFonts w:ascii="Arial" w:cs="Arial" w:eastAsia="Arial" w:hAnsi="Arial"/>
          <w:sz w:val="19"/>
          <w:szCs w:val="19"/>
          <w:color w:val="auto"/>
        </w:rPr>
        <w:t>As an inducement to enter into the Loan Documents, Agent has required that the Company obtain this Waiver from Landlord in connection with its lease of the Leased Premises, and Landlord and Company hereby agree and covenant with Agent as follows:</w:t>
      </w:r>
    </w:p>
    <w:p>
      <w:pPr>
        <w:spacing w:after="0" w:line="117" w:lineRule="exact"/>
        <w:rPr>
          <w:sz w:val="20"/>
          <w:szCs w:val="20"/>
          <w:color w:val="auto"/>
        </w:rPr>
      </w:pPr>
    </w:p>
    <w:p>
      <w:pPr>
        <w:ind w:left="640" w:hanging="320"/>
        <w:spacing w:after="0" w:line="274" w:lineRule="auto"/>
        <w:tabs>
          <w:tab w:leader="none" w:pos="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Company and Landlord acknowledge that the Lease is in full force and effect and is not aware of any existing material default under the Lease.</w:t>
      </w:r>
    </w:p>
    <w:p>
      <w:pPr>
        <w:spacing w:after="0" w:line="117" w:lineRule="exact"/>
        <w:rPr>
          <w:rFonts w:ascii="Arial" w:cs="Arial" w:eastAsia="Arial" w:hAnsi="Arial"/>
          <w:sz w:val="19"/>
          <w:szCs w:val="19"/>
          <w:color w:val="auto"/>
        </w:rPr>
      </w:pPr>
    </w:p>
    <w:p>
      <w:pPr>
        <w:jc w:val="both"/>
        <w:ind w:left="640" w:hanging="320"/>
        <w:spacing w:after="0" w:line="259" w:lineRule="auto"/>
        <w:tabs>
          <w:tab w:leader="none" w:pos="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Landlord acknowledges the validity of Agent’s lien on the Collateral and, subject to the terms of this Waiver, subordinates to Agent any interest (statutory, common law or otherwise) in the Collateral and agrees not to levy or distrain upon any Collateral or to claim or assert any lien, right or other claim against any Collateral for any reason at any time. Notwithstanding the preceding sentence, Landlord does not hereby disclaim any interest in fixtures and tenant improvements which are necessary for the operation of the Leased Premises as opposed to the operation of the Company’s business.</w:t>
      </w:r>
    </w:p>
    <w:p>
      <w:pPr>
        <w:spacing w:after="0" w:line="132" w:lineRule="exact"/>
        <w:rPr>
          <w:rFonts w:ascii="Arial" w:cs="Arial" w:eastAsia="Arial" w:hAnsi="Arial"/>
          <w:sz w:val="19"/>
          <w:szCs w:val="19"/>
          <w:color w:val="auto"/>
        </w:rPr>
      </w:pPr>
    </w:p>
    <w:p>
      <w:pPr>
        <w:jc w:val="both"/>
        <w:ind w:left="640" w:hanging="320"/>
        <w:spacing w:after="0" w:line="304"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Landlord agrees to give notice to Agent of the occurrence of any default by the Company under the Lease resulting in termination of the Lease (a “Default Notice”) and agrees to permit Agent to cure any such default within fifteen (15) days of Agent’s receipt of such Default Notice, but Agent shall not be under any obligation to cure any default by the Company under the Lease. No action by Agent pursuant to this Waiver shall be deemed to be an assumption by Agent of any obligation under the Lease, except as expressly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00" w:lineRule="exact"/>
        <w:rPr>
          <w:sz w:val="20"/>
          <w:szCs w:val="20"/>
          <w:color w:val="auto"/>
        </w:rPr>
      </w:pPr>
    </w:p>
    <w:p>
      <w:pPr>
        <w:ind w:left="320" w:hanging="320"/>
        <w:spacing w:after="0" w:line="288" w:lineRule="auto"/>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Subject to the provisions of this Waiver, Landlord agrees that the Collateral may be inspected and evaluated by Agent or its designee, without necessity of court order, at any time during normal business hours without payment of any fee.</w:t>
      </w:r>
    </w:p>
    <w:p>
      <w:pPr>
        <w:spacing w:after="0" w:line="91" w:lineRule="exact"/>
        <w:rPr>
          <w:rFonts w:ascii="Arial" w:cs="Arial" w:eastAsia="Arial" w:hAnsi="Arial"/>
          <w:sz w:val="19"/>
          <w:szCs w:val="19"/>
          <w:color w:val="auto"/>
        </w:rPr>
      </w:pPr>
    </w:p>
    <w:p>
      <w:pPr>
        <w:jc w:val="both"/>
        <w:ind w:left="320" w:hanging="320"/>
        <w:spacing w:after="0" w:line="294" w:lineRule="auto"/>
        <w:tabs>
          <w:tab w:leader="none" w:pos="375"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event of default by the Company in the payment or performance of the Obligations or if Landlord takes possession of the Leased Premises for any reason, including because of termination of the Company’s lease (each a “Disposition Event”), Landlord agrees that, at Agent’s option, the Collateral may remain upon the Leased Premises for a period not to exceed one hundred twenty (120) days (the “Disposition Period”) after (a) the occurrence of a Disposition Event or (b) receipt by Agent of a Default Notice; provided that Agent pays rent on a per diem basis for the period of time Agent remains on the Premises, based upon the amount of rent set forth in the Lease. If any injunction or stay is issued (including an automatic stay due to a bankruptcy proceeding) that prohibits Agent from removing the Collateral, commencement of the Disposition Period shall be deferred until such injunction or stay is lifted or removed.</w:t>
      </w:r>
    </w:p>
    <w:p>
      <w:pPr>
        <w:spacing w:after="0" w:line="94" w:lineRule="exact"/>
        <w:rPr>
          <w:rFonts w:ascii="Arial" w:cs="Arial" w:eastAsia="Arial" w:hAnsi="Arial"/>
          <w:sz w:val="17"/>
          <w:szCs w:val="17"/>
          <w:color w:val="auto"/>
        </w:rPr>
      </w:pPr>
    </w:p>
    <w:p>
      <w:pPr>
        <w:jc w:val="both"/>
        <w:ind w:left="320" w:hanging="320"/>
        <w:spacing w:after="0" w:line="259" w:lineRule="auto"/>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During any Disposition Period, Agent (a) or its designee may, without necessity of court order, enter upon the Premises at any time to inspect or remove all or any Collateral from the Premises without interference by Landlord, and Agent or its designee may sell, transfer, or otherwise dispose of that Collateral free of all liens, claims, demands, rights and interests that Landlord may have in that Collateral by law or agreement, and (b) shall make the Leased Premises available for inspection by Landlord and prospective tenants and shall cooperate in Landlord’s reasonable efforts to re-lease the Leased Premises. Notwithstanding anything to the contrary contained in this Waiver, all rights of Agent to enter upon the Leased Premises and remove the Collateral shall be expressly subject to and conditioned upon the following:</w:t>
      </w:r>
    </w:p>
    <w:p>
      <w:pPr>
        <w:spacing w:after="0" w:line="132" w:lineRule="exact"/>
        <w:rPr>
          <w:rFonts w:ascii="Arial" w:cs="Arial" w:eastAsia="Arial" w:hAnsi="Arial"/>
          <w:sz w:val="19"/>
          <w:szCs w:val="19"/>
          <w:color w:val="auto"/>
        </w:rPr>
      </w:pPr>
    </w:p>
    <w:p>
      <w:pPr>
        <w:ind w:left="940" w:hanging="311"/>
        <w:spacing w:after="0"/>
        <w:tabs>
          <w:tab w:leader="none" w:pos="940" w:val="left"/>
        </w:tabs>
        <w:numPr>
          <w:ilvl w:val="1"/>
          <w:numId w:val="74"/>
        </w:numPr>
        <w:rPr>
          <w:rFonts w:ascii="Arial" w:cs="Arial" w:eastAsia="Arial" w:hAnsi="Arial"/>
          <w:sz w:val="19"/>
          <w:szCs w:val="19"/>
          <w:color w:val="auto"/>
        </w:rPr>
      </w:pPr>
      <w:r>
        <w:rPr>
          <w:rFonts w:ascii="Arial" w:cs="Arial" w:eastAsia="Arial" w:hAnsi="Arial"/>
          <w:sz w:val="19"/>
          <w:szCs w:val="19"/>
          <w:color w:val="auto"/>
        </w:rPr>
        <w:t>Agent shall provide Landlord with reasonable notice prior to any entry upon the Leased Premises;</w:t>
      </w:r>
    </w:p>
    <w:p>
      <w:pPr>
        <w:spacing w:after="0" w:line="161" w:lineRule="exact"/>
        <w:rPr>
          <w:rFonts w:ascii="Arial" w:cs="Arial" w:eastAsia="Arial" w:hAnsi="Arial"/>
          <w:sz w:val="19"/>
          <w:szCs w:val="19"/>
          <w:color w:val="auto"/>
        </w:rPr>
      </w:pPr>
    </w:p>
    <w:p>
      <w:pPr>
        <w:jc w:val="both"/>
        <w:ind w:left="940" w:hanging="311"/>
        <w:spacing w:after="0" w:line="266" w:lineRule="auto"/>
        <w:tabs>
          <w:tab w:leader="none" w:pos="940" w:val="left"/>
        </w:tabs>
        <w:numPr>
          <w:ilvl w:val="1"/>
          <w:numId w:val="74"/>
        </w:numPr>
        <w:rPr>
          <w:rFonts w:ascii="Arial" w:cs="Arial" w:eastAsia="Arial" w:hAnsi="Arial"/>
          <w:sz w:val="19"/>
          <w:szCs w:val="19"/>
          <w:color w:val="auto"/>
        </w:rPr>
      </w:pPr>
      <w:r>
        <w:rPr>
          <w:rFonts w:ascii="Arial" w:cs="Arial" w:eastAsia="Arial" w:hAnsi="Arial"/>
          <w:sz w:val="19"/>
          <w:szCs w:val="19"/>
          <w:color w:val="auto"/>
        </w:rPr>
        <w:t>Agent shall repair any and all damage to the Leased Premises caused by the entry upon the Leased Premises by Agent (or any agent of Agent) and/or the removal of any Collateral from the Leased Premises by Agent (or any agent of Agent) and shall restore the Leased Premises to the condition existing prior to such removal;</w:t>
      </w:r>
    </w:p>
    <w:p>
      <w:pPr>
        <w:spacing w:after="0" w:line="125" w:lineRule="exact"/>
        <w:rPr>
          <w:rFonts w:ascii="Arial" w:cs="Arial" w:eastAsia="Arial" w:hAnsi="Arial"/>
          <w:sz w:val="19"/>
          <w:szCs w:val="19"/>
          <w:color w:val="auto"/>
        </w:rPr>
      </w:pPr>
    </w:p>
    <w:p>
      <w:pPr>
        <w:jc w:val="both"/>
        <w:ind w:left="940" w:hanging="311"/>
        <w:spacing w:after="0" w:line="266" w:lineRule="auto"/>
        <w:tabs>
          <w:tab w:leader="none" w:pos="929" w:val="left"/>
        </w:tabs>
        <w:numPr>
          <w:ilvl w:val="1"/>
          <w:numId w:val="74"/>
        </w:numPr>
        <w:rPr>
          <w:rFonts w:ascii="Arial" w:cs="Arial" w:eastAsia="Arial" w:hAnsi="Arial"/>
          <w:sz w:val="19"/>
          <w:szCs w:val="19"/>
          <w:color w:val="auto"/>
        </w:rPr>
      </w:pPr>
      <w:r>
        <w:rPr>
          <w:rFonts w:ascii="Arial" w:cs="Arial" w:eastAsia="Arial" w:hAnsi="Arial"/>
          <w:sz w:val="19"/>
          <w:szCs w:val="19"/>
          <w:color w:val="auto"/>
        </w:rPr>
        <w:t>Neither Agent nor any agent of Agent shall conduct a public or private sale of any of the Collateral at the Leased Premises without first obtaining Landlord’s written consent, which may be given or withheld in Landlord’s sole discretion, and without Landlord being present at the time of sale, if any; and</w:t>
      </w:r>
    </w:p>
    <w:p>
      <w:pPr>
        <w:spacing w:after="0" w:line="125" w:lineRule="exact"/>
        <w:rPr>
          <w:rFonts w:ascii="Arial" w:cs="Arial" w:eastAsia="Arial" w:hAnsi="Arial"/>
          <w:sz w:val="19"/>
          <w:szCs w:val="19"/>
          <w:color w:val="auto"/>
        </w:rPr>
      </w:pPr>
    </w:p>
    <w:p>
      <w:pPr>
        <w:jc w:val="both"/>
        <w:ind w:left="940" w:hanging="311"/>
        <w:spacing w:after="0" w:line="266" w:lineRule="auto"/>
        <w:tabs>
          <w:tab w:leader="none" w:pos="940" w:val="left"/>
        </w:tabs>
        <w:numPr>
          <w:ilvl w:val="1"/>
          <w:numId w:val="74"/>
        </w:numPr>
        <w:rPr>
          <w:rFonts w:ascii="Arial" w:cs="Arial" w:eastAsia="Arial" w:hAnsi="Arial"/>
          <w:sz w:val="19"/>
          <w:szCs w:val="19"/>
          <w:color w:val="auto"/>
        </w:rPr>
      </w:pPr>
      <w:r>
        <w:rPr>
          <w:rFonts w:ascii="Arial" w:cs="Arial" w:eastAsia="Arial" w:hAnsi="Arial"/>
          <w:sz w:val="19"/>
          <w:szCs w:val="19"/>
          <w:color w:val="auto"/>
        </w:rPr>
        <w:t>Agent agrees to indemnify, defend, protect and hold Landlord and the Leased Premises free and harmless from any claims, damages, liabilities, losses, costs, and expenses (including, without limitation, reasonable attorneys’ fees) arising out of the exercise by Agent of any of its rights under this Waiver.</w:t>
      </w:r>
    </w:p>
    <w:p>
      <w:pPr>
        <w:spacing w:after="0" w:line="112" w:lineRule="exact"/>
        <w:rPr>
          <w:rFonts w:ascii="Arial" w:cs="Arial" w:eastAsia="Arial" w:hAnsi="Arial"/>
          <w:sz w:val="19"/>
          <w:szCs w:val="19"/>
          <w:color w:val="auto"/>
        </w:rPr>
      </w:pPr>
    </w:p>
    <w:p>
      <w:pPr>
        <w:jc w:val="both"/>
        <w:ind w:left="320" w:hanging="320"/>
        <w:spacing w:after="0" w:line="274" w:lineRule="auto"/>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Agent shall not (a) be liable to Landlord for any diminution in value caused by the absence of any removed Collateral or for any other matter except as specifically set forth herein or (b) have any duty or obligation to remove or dispose of any Collateral or other property left on the Leased Premises by the Company.</w:t>
      </w:r>
    </w:p>
    <w:p>
      <w:pPr>
        <w:spacing w:after="0" w:line="104" w:lineRule="exact"/>
        <w:rPr>
          <w:rFonts w:ascii="Arial" w:cs="Arial" w:eastAsia="Arial" w:hAnsi="Arial"/>
          <w:sz w:val="19"/>
          <w:szCs w:val="19"/>
          <w:color w:val="auto"/>
        </w:rPr>
      </w:pPr>
    </w:p>
    <w:p>
      <w:pPr>
        <w:jc w:val="both"/>
        <w:ind w:left="320" w:hanging="320"/>
        <w:spacing w:after="0" w:line="266" w:lineRule="auto"/>
        <w:tabs>
          <w:tab w:leader="none" w:pos="3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Without affecting the validity of this Waiver, any of the Obligations under the Loan Documents may be extended, amended, or otherwise modified without the consent of Landlord and without giving notice thereof to Landlord. This Waiver shall inure to the benefit of the successors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920"/>
          </w:cols>
          <w:pgMar w:left="640" w:top="1440" w:right="339" w:bottom="1440" w:gutter="0" w:footer="0" w:header="0"/>
        </w:sectPr>
      </w:pPr>
    </w:p>
    <w:bookmarkStart w:id="153" w:name="page154"/>
    <w:bookmarkEnd w:id="153"/>
    <w:p>
      <w:pPr>
        <w:spacing w:after="0" w:line="100" w:lineRule="exact"/>
        <w:rPr>
          <w:sz w:val="20"/>
          <w:szCs w:val="20"/>
          <w:color w:val="auto"/>
        </w:rPr>
      </w:pPr>
    </w:p>
    <w:p>
      <w:pPr>
        <w:jc w:val="both"/>
        <w:ind w:left="320"/>
        <w:spacing w:after="0" w:line="266" w:lineRule="auto"/>
        <w:rPr>
          <w:sz w:val="20"/>
          <w:szCs w:val="20"/>
          <w:color w:val="auto"/>
        </w:rPr>
      </w:pPr>
      <w:r>
        <w:rPr>
          <w:rFonts w:ascii="Arial" w:cs="Arial" w:eastAsia="Arial" w:hAnsi="Arial"/>
          <w:sz w:val="19"/>
          <w:szCs w:val="19"/>
          <w:color w:val="auto"/>
        </w:rPr>
        <w:t>assigns of Agent, Landlord, and Company and shall be binding upon the heirs, personal representatives, successors and assigns of Agent, Landlord, and Company. The person signing this Waiver on behalf of each party represents that he/she has the authority to do so on behalf of the respective party.</w:t>
      </w:r>
    </w:p>
    <w:p>
      <w:pPr>
        <w:spacing w:after="0" w:line="126" w:lineRule="exact"/>
        <w:rPr>
          <w:sz w:val="20"/>
          <w:szCs w:val="20"/>
          <w:color w:val="auto"/>
        </w:rPr>
      </w:pPr>
    </w:p>
    <w:p>
      <w:pPr>
        <w:jc w:val="both"/>
        <w:ind w:left="320" w:hanging="320"/>
        <w:spacing w:after="0" w:line="266" w:lineRule="auto"/>
        <w:tabs>
          <w:tab w:leader="none" w:pos="3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All notices hereunder shall be in writing and sent by certified mail (return receipt requested), overnight mail or facsimile (with a copy to be sent by certified or overnight mail), to the other party at the address set forth on the signature page hereto or at such other address as such other party shall otherwise designate in accordance with this paragraph.</w:t>
      </w:r>
    </w:p>
    <w:p>
      <w:pPr>
        <w:spacing w:after="0" w:line="125" w:lineRule="exact"/>
        <w:rPr>
          <w:rFonts w:ascii="Arial" w:cs="Arial" w:eastAsia="Arial" w:hAnsi="Arial"/>
          <w:sz w:val="19"/>
          <w:szCs w:val="19"/>
          <w:color w:val="auto"/>
        </w:rPr>
      </w:pPr>
    </w:p>
    <w:p>
      <w:pPr>
        <w:jc w:val="both"/>
        <w:ind w:left="320" w:hanging="320"/>
        <w:spacing w:after="0" w:line="259" w:lineRule="auto"/>
        <w:tabs>
          <w:tab w:leader="none" w:pos="311"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This Waiver may be executed in any number of counterparts and by different parties hereto in separate counterparts, each of which when so executed and delivered shall be an original, but all of which shall together constitute one and the same instrument. Delivery of an executed counterpart of this Waiver by facsimile or other electronic method of transmission shall be equally as effective as delivery of an original executed counterpart of this Waiver. Any party delivering an executed counterpart of this Waiver by facsimile or other electronic method of transmission shall also deliver an original executed counterpart of this Waiver, but the failure to do so shall not affect the validity, enforceability or binding effect of this Waiver.</w:t>
      </w:r>
    </w:p>
    <w:p>
      <w:pPr>
        <w:spacing w:after="0" w:line="119" w:lineRule="exact"/>
        <w:rPr>
          <w:rFonts w:ascii="Arial" w:cs="Arial" w:eastAsia="Arial" w:hAnsi="Arial"/>
          <w:sz w:val="19"/>
          <w:szCs w:val="19"/>
          <w:color w:val="auto"/>
        </w:rPr>
      </w:pPr>
    </w:p>
    <w:p>
      <w:pPr>
        <w:jc w:val="both"/>
        <w:ind w:left="320" w:hanging="320"/>
        <w:spacing w:after="0" w:line="264" w:lineRule="auto"/>
        <w:tabs>
          <w:tab w:leader="none" w:pos="304"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This Waiver is governed by the laws of the State of Oklahoma. Agent, Landlord, and Company agree that any legal action or proceeding with respect to any of its obligations under this Waiver may be brought in any state or federal court located in the State of Oklahoma. By its execution and delivery of this Waiver, the parties each submit to and accept, for itself and in respect of its property, generally and unconditionally, the non-exclusive jurisdiction of those courts.</w:t>
      </w:r>
    </w:p>
    <w:p>
      <w:pPr>
        <w:spacing w:after="0" w:line="121" w:lineRule="exact"/>
        <w:rPr>
          <w:rFonts w:ascii="Arial" w:cs="Arial" w:eastAsia="Arial" w:hAnsi="Arial"/>
          <w:sz w:val="19"/>
          <w:szCs w:val="19"/>
          <w:color w:val="auto"/>
        </w:rPr>
      </w:pPr>
    </w:p>
    <w:p>
      <w:pPr>
        <w:jc w:val="both"/>
        <w:ind w:left="320" w:hanging="320"/>
        <w:spacing w:after="0" w:line="270" w:lineRule="auto"/>
        <w:tabs>
          <w:tab w:leader="none" w:pos="311"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WAIVER OF SPECIAL DAMAGES. </w:t>
      </w:r>
      <w:r>
        <w:rPr>
          <w:rFonts w:ascii="Arial" w:cs="Arial" w:eastAsia="Arial" w:hAnsi="Arial"/>
          <w:sz w:val="19"/>
          <w:szCs w:val="19"/>
          <w:color w:val="auto"/>
        </w:rPr>
        <w:t>AGENT, LANDLORD, AND COMPANY EACH WAIVES, TO THE MAXIMUM EXTENT</w:t>
      </w:r>
      <w:r>
        <w:rPr>
          <w:rFonts w:ascii="Arial" w:cs="Arial" w:eastAsia="Arial" w:hAnsi="Arial"/>
          <w:sz w:val="19"/>
          <w:szCs w:val="19"/>
          <w:b w:val="1"/>
          <w:bCs w:val="1"/>
          <w:color w:val="auto"/>
        </w:rPr>
        <w:t xml:space="preserve"> </w:t>
      </w:r>
      <w:r>
        <w:rPr>
          <w:rFonts w:ascii="Arial" w:cs="Arial" w:eastAsia="Arial" w:hAnsi="Arial"/>
          <w:sz w:val="19"/>
          <w:szCs w:val="19"/>
          <w:color w:val="auto"/>
        </w:rPr>
        <w:t>NOT PROHIBITED BY LAW, ANY RIGHT SUCH PARTY MAY HAVE TO CLAIM OR RECOVER IN ANY LEGAL ACTION OR PROCEEDING ANY SPECIAL, EXEMPLARY, PUNITIVE OR CONSEQUENTIAL DAMAGES.</w:t>
      </w:r>
    </w:p>
    <w:p>
      <w:pPr>
        <w:spacing w:after="0" w:line="101" w:lineRule="exact"/>
        <w:rPr>
          <w:rFonts w:ascii="Arial" w:cs="Arial" w:eastAsia="Arial" w:hAnsi="Arial"/>
          <w:sz w:val="19"/>
          <w:szCs w:val="19"/>
          <w:color w:val="auto"/>
        </w:rPr>
      </w:pPr>
    </w:p>
    <w:p>
      <w:pPr>
        <w:jc w:val="both"/>
        <w:ind w:left="320" w:hanging="320"/>
        <w:spacing w:after="0" w:line="270" w:lineRule="auto"/>
        <w:tabs>
          <w:tab w:leader="none" w:pos="311"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JURY WAIVER</w:t>
      </w:r>
      <w:r>
        <w:rPr>
          <w:rFonts w:ascii="Arial" w:cs="Arial" w:eastAsia="Arial" w:hAnsi="Arial"/>
          <w:sz w:val="19"/>
          <w:szCs w:val="19"/>
          <w:color w:val="auto"/>
        </w:rPr>
        <w:t>. TO THE MAXIMUM EXTENT PERMITED BY LAW, AGENT, LANDLORD, AND COMPANY EACH HEREBY</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KNOWINGLY, IRREVOCABLY AND UNCONDITIONALLY WAIVE ANY RIGHT TO HAVE A JURY PARTICIPATE IN RESOLVING ANY DISPUTE IN ANY WAY RELATED TO THIS WAIVER.</w:t>
      </w:r>
    </w:p>
    <w:p>
      <w:pPr>
        <w:spacing w:after="0" w:line="120" w:lineRule="exact"/>
        <w:rPr>
          <w:rFonts w:ascii="Arial" w:cs="Arial" w:eastAsia="Arial" w:hAnsi="Arial"/>
          <w:sz w:val="19"/>
          <w:szCs w:val="19"/>
          <w:color w:val="auto"/>
        </w:rPr>
      </w:pPr>
    </w:p>
    <w:p>
      <w:pPr>
        <w:ind w:left="320" w:hanging="320"/>
        <w:spacing w:after="0" w:line="288" w:lineRule="auto"/>
        <w:tabs>
          <w:tab w:leader="none" w:pos="311"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This Waiver shall continue in full force and affect until the earlier to occur of (a) the expiration of the Disposition Period or (b) indefeasible payment in full of all Obligations and termination of the Loan Documents.</w:t>
      </w:r>
    </w:p>
    <w:p>
      <w:pPr>
        <w:spacing w:after="0" w:line="91" w:lineRule="exact"/>
        <w:rPr>
          <w:rFonts w:ascii="Arial" w:cs="Arial" w:eastAsia="Arial" w:hAnsi="Arial"/>
          <w:sz w:val="19"/>
          <w:szCs w:val="19"/>
          <w:color w:val="auto"/>
        </w:rPr>
      </w:pPr>
    </w:p>
    <w:p>
      <w:pPr>
        <w:jc w:val="both"/>
        <w:ind w:left="320" w:hanging="320"/>
        <w:spacing w:after="0" w:line="276" w:lineRule="auto"/>
        <w:tabs>
          <w:tab w:leader="none" w:pos="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party hereto should bring suit against another party with respect to this agreement, then all costs and expenses, including without limitation, actual professional fees and costs such as appraisers’, accountants’ and attorneys’ fees and costs, incurred by the party which prevails in such action, whether by final judgment or out of court settlement, shall be paid by the other parties, which obligation on the part of the other parties shall be deemed to have accrued on the date of the commencement of such action and shall be enforceable whether or not the action is prosecuted to judgment. As used herein, attorneys’ fees and costs shall include, without limitation, attorneys’ fees, costs and expenses incurred in connection with any (i) post-judgment motions; (ii) contempt proceedings; (iii) garnishment, levy, and debtor and third party examination; (iv) discovery; and (v) bankruptcy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0920"/>
          </w:cols>
          <w:pgMar w:left="640" w:top="1440" w:right="339" w:bottom="1440" w:gutter="0" w:footer="0" w:header="0"/>
        </w:sectPr>
      </w:pPr>
    </w:p>
    <w:bookmarkStart w:id="154" w:name="page155"/>
    <w:bookmarkEnd w:id="154"/>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[Signature Page Follows]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9019"/>
          </w:cols>
          <w:pgMar w:left="1440" w:top="1440" w:right="1440" w:bottom="1440" w:gutter="0" w:footer="0" w:header="0"/>
          <w:type w:val="continuous"/>
        </w:sectPr>
      </w:pPr>
    </w:p>
    <w:bookmarkStart w:id="155" w:name="page156"/>
    <w:bookmarkEnd w:id="155"/>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This Waiver is executed and delivered by Landlord as of the date first written above.</w:t>
      </w:r>
    </w:p>
    <w:p>
      <w:pPr>
        <w:spacing w:after="0" w:line="200" w:lineRule="exact"/>
        <w:rPr>
          <w:sz w:val="20"/>
          <w:szCs w:val="20"/>
          <w:color w:val="auto"/>
        </w:rPr>
      </w:pPr>
    </w:p>
    <w:p>
      <w:pPr>
        <w:spacing w:after="0" w:line="380"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LANDLORD:</w:t>
      </w:r>
    </w:p>
    <w:p>
      <w:pPr>
        <w:spacing w:after="0" w:line="16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PISCES 500 W COLLINS AVE LLC,</w:t>
      </w:r>
    </w:p>
    <w:p>
      <w:pPr>
        <w:spacing w:after="0" w:line="18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367"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17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Title:</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c/o Brookfield Property Group</w:t>
      </w:r>
    </w:p>
    <w:p>
      <w:pPr>
        <w:spacing w:after="0" w:line="200" w:lineRule="exact"/>
        <w:rPr>
          <w:sz w:val="20"/>
          <w:szCs w:val="20"/>
          <w:color w:val="auto"/>
        </w:rPr>
      </w:pPr>
    </w:p>
    <w:p>
      <w:pPr>
        <w:spacing w:after="0" w:line="368"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Brookfield Place</w:t>
      </w:r>
    </w:p>
    <w:p>
      <w:pPr>
        <w:spacing w:after="0" w:line="162"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250 Vesey Street</w:t>
      </w:r>
    </w:p>
    <w:p>
      <w:pPr>
        <w:spacing w:after="0" w:line="175"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New York, New York 10281-1023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COMPANY:</w:t>
      </w:r>
    </w:p>
    <w:p>
      <w:pPr>
        <w:spacing w:after="0" w:line="200" w:lineRule="exact"/>
        <w:rPr>
          <w:sz w:val="20"/>
          <w:szCs w:val="20"/>
          <w:color w:val="auto"/>
        </w:rPr>
      </w:pPr>
    </w:p>
    <w:p>
      <w:pPr>
        <w:spacing w:after="0" w:line="35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MATRIX SERVICE INC.,</w:t>
      </w:r>
    </w:p>
    <w:p>
      <w:pPr>
        <w:spacing w:after="0" w:line="17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an Oklahoma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17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w:t>
      </w:r>
    </w:p>
    <w:p>
      <w:pPr>
        <w:spacing w:after="0" w:line="17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355" w:lineRule="exact"/>
        <w:rPr>
          <w:sz w:val="20"/>
          <w:szCs w:val="20"/>
          <w:color w:val="auto"/>
        </w:rPr>
      </w:pPr>
    </w:p>
    <w:p>
      <w:pPr>
        <w:ind w:left="820"/>
        <w:spacing w:after="0"/>
        <w:rPr>
          <w:sz w:val="20"/>
          <w:szCs w:val="20"/>
          <w:color w:val="auto"/>
        </w:rPr>
      </w:pPr>
      <w:r>
        <w:rPr>
          <w:rFonts w:ascii="Arial" w:cs="Arial" w:eastAsia="Arial" w:hAnsi="Arial"/>
          <w:sz w:val="19"/>
          <w:szCs w:val="19"/>
          <w:color w:val="auto"/>
        </w:rPr>
        <w:t>5100 E. Skelly Drive, Suite 100</w:t>
      </w:r>
    </w:p>
    <w:p>
      <w:pPr>
        <w:spacing w:after="0" w:line="17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Tulsa, Oklahoma 74135</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139"/>
          </w:cols>
          <w:pgMar w:left="320" w:top="1440" w:right="1440" w:bottom="1440" w:gutter="0" w:footer="0" w:header="0"/>
          <w:type w:val="continuous"/>
        </w:sectPr>
      </w:pPr>
    </w:p>
    <w:bookmarkStart w:id="156" w:name="page157"/>
    <w:bookmarkEnd w:id="156"/>
    <w:p>
      <w:pPr>
        <w:spacing w:after="0" w:line="99"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BANK OF MONTREAL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By:</w:t>
      </w:r>
    </w:p>
    <w:p>
      <w:pPr>
        <w:spacing w:after="0" w:line="162"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Name:</w:t>
      </w:r>
    </w:p>
    <w:p>
      <w:pPr>
        <w:spacing w:after="0" w:line="175" w:lineRule="exact"/>
        <w:rPr>
          <w:sz w:val="20"/>
          <w:szCs w:val="20"/>
          <w:color w:val="auto"/>
        </w:rPr>
      </w:pPr>
    </w:p>
    <w:p>
      <w:pPr>
        <w:ind w:left="26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ENVIRONMENTAL QUESTIONNAIRE AND DISCLOSURE STATEMENT</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purpose of this form is to obtain information regarding the use or proposed use of hazardous materials at the premises. Prospective tenants should answer the questions in light of their proposed operations at the premises. Existing tenants should answer the questions as they relate to ongoing operations at the premises and should update any information previously submitted. If additional space is needed to answer the questions, you may attach separate sheets of paper to this form.</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color w:val="auto"/>
        </w:rPr>
        <w:t>Your cooperation in this matter is appreciated.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1. GENERAL INFORMATION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Name of Responding Company:</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Check the Applicable Status: Prospective Tenant _____ Existing Tenant _____</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Mailing Address: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Contact Person and Title: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Telephone Number: (_____) ________________________</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Address of Leased Premises: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Length of Term:</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Describe the proposed operations to take place on the premises, including principal products manufactured or services to be conducted.</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Existing tenants should describe any proposed changes to ongoing operations.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auto"/>
        </w:rPr>
        <w:t>2. STORAGE OF HAZARDOUS MATERIALS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2.1 Will any hazardous materials be used or stored on-site?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Wastes Yes _____ No _____</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Chemical Products Yes _____ No _____</w:t>
      </w:r>
    </w:p>
    <w:p>
      <w:pPr>
        <w:spacing w:after="0" w:line="162" w:lineRule="exact"/>
        <w:rPr>
          <w:sz w:val="20"/>
          <w:szCs w:val="20"/>
          <w:color w:val="auto"/>
        </w:rPr>
      </w:pPr>
    </w:p>
    <w:p>
      <w:pPr>
        <w:jc w:val="both"/>
        <w:ind w:firstLine="629"/>
        <w:spacing w:after="0" w:line="288" w:lineRule="auto"/>
        <w:rPr>
          <w:sz w:val="20"/>
          <w:szCs w:val="20"/>
          <w:color w:val="auto"/>
        </w:rPr>
      </w:pPr>
      <w:r>
        <w:rPr>
          <w:rFonts w:ascii="Arial" w:cs="Arial" w:eastAsia="Arial" w:hAnsi="Arial"/>
          <w:sz w:val="19"/>
          <w:szCs w:val="19"/>
          <w:color w:val="auto"/>
        </w:rPr>
        <w:t>2.2 Attach a list of any hazardous materials to be used or stored, the quantities that will be on-site at any given time, and the location and method of storage (e.g., 55-gallon drums on concrete pad).</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3. STORAGE TANKS AND SUMPS</w:t>
      </w:r>
    </w:p>
    <w:p>
      <w:pPr>
        <w:spacing w:after="0" w:line="162" w:lineRule="exact"/>
        <w:rPr>
          <w:sz w:val="20"/>
          <w:szCs w:val="20"/>
          <w:color w:val="auto"/>
        </w:rPr>
      </w:pPr>
    </w:p>
    <w:p>
      <w:pPr>
        <w:jc w:val="both"/>
        <w:ind w:firstLine="629"/>
        <w:spacing w:after="0" w:line="288" w:lineRule="auto"/>
        <w:rPr>
          <w:sz w:val="20"/>
          <w:szCs w:val="20"/>
          <w:color w:val="auto"/>
        </w:rPr>
      </w:pPr>
      <w:r>
        <w:rPr>
          <w:rFonts w:ascii="Arial" w:cs="Arial" w:eastAsia="Arial" w:hAnsi="Arial"/>
          <w:sz w:val="19"/>
          <w:szCs w:val="19"/>
          <w:color w:val="auto"/>
        </w:rPr>
        <w:t>3.1 Is any above or below ground storage of gasoline, diesel or other hazardous substances in tanks or sumps proposed or currently conducted at the premises?</w:t>
      </w:r>
    </w:p>
    <w:p>
      <w:pPr>
        <w:spacing w:after="0" w:line="9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jc w:val="both"/>
        <w:ind w:firstLine="1259"/>
        <w:spacing w:after="0" w:line="288" w:lineRule="auto"/>
        <w:rPr>
          <w:sz w:val="20"/>
          <w:szCs w:val="20"/>
          <w:color w:val="auto"/>
        </w:rPr>
      </w:pPr>
      <w:r>
        <w:rPr>
          <w:rFonts w:ascii="Arial" w:cs="Arial" w:eastAsia="Arial" w:hAnsi="Arial"/>
          <w:sz w:val="19"/>
          <w:szCs w:val="19"/>
          <w:color w:val="auto"/>
        </w:rPr>
        <w:t>If yes, describe the materials to be stored, and the type, size and construction of the sump or tank. Attach copies of any permits obtained for the storage of such substances.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440" w:right="339" w:bottom="1440" w:gutter="0" w:footer="0" w:header="0"/>
          <w:type w:val="continuous"/>
        </w:sectPr>
      </w:pPr>
    </w:p>
    <w:bookmarkStart w:id="158" w:name="page159"/>
    <w:bookmarkEnd w:id="158"/>
    <w:p>
      <w:pPr>
        <w:spacing w:after="0" w:line="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3.2 Have any of the tanks or sumps been inspected or tested for leakage?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so, attach the results.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3.3 Have any spills or leaks occurred from such tanks or sumps?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so, describe.</w:t>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3.4 Were any regulatory agencies notified of the spill or leak?</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so, attach copies of any spill reports filed, any clearance letters or other correspondence from regulatory agencies relating to</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spill or leak.</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3.5 Have any underground storage tanks or sumps been taken out of service or removed?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yes, attach copies of any closure permits and clearance obtained from regulatory agencies relating to closure and removal of</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such tanks.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4. SPILLS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4.1 During the past year, have any spills occurred at the premises?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yes, please describe the location of the spill.</w:t>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4.2 Were any agencies notified in connection with such spills?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yes, attach copies of any spill reports or other correspondence with regulatory agencies.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4.3 Were any clean-up actions undertaken in connection with the spills?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ind w:firstLine="1259"/>
        <w:spacing w:after="0" w:line="274" w:lineRule="auto"/>
        <w:rPr>
          <w:sz w:val="20"/>
          <w:szCs w:val="20"/>
          <w:color w:val="auto"/>
        </w:rPr>
      </w:pPr>
      <w:r>
        <w:rPr>
          <w:rFonts w:ascii="Arial" w:cs="Arial" w:eastAsia="Arial" w:hAnsi="Arial"/>
          <w:sz w:val="19"/>
          <w:szCs w:val="19"/>
          <w:color w:val="auto"/>
        </w:rPr>
        <w:t>Attach copies of any clearance letters obtained from any regulatory agencies involved and the results of any final soil or groundwater sampling done upon completion of the clean-up work.</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5. WASTE MANAGEMENT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5.1 Has your company been issued an EPA Hazardous Waste Generator I.D. Number?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1440" w:right="339" w:bottom="1440" w:gutter="0" w:footer="0" w:header="0"/>
          <w:type w:val="continuous"/>
        </w:sectPr>
      </w:pPr>
    </w:p>
    <w:bookmarkStart w:id="159" w:name="page160"/>
    <w:bookmarkEnd w:id="159"/>
    <w:p>
      <w:pPr>
        <w:spacing w:after="0" w:line="9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5.2 Has your company filed a biennial report as a hazardous waste generator?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so, attach a copy of the most recent report filed.</w:t>
      </w:r>
    </w:p>
    <w:p>
      <w:pPr>
        <w:spacing w:after="0" w:line="175" w:lineRule="exact"/>
        <w:rPr>
          <w:sz w:val="20"/>
          <w:szCs w:val="20"/>
          <w:color w:val="auto"/>
        </w:rPr>
      </w:pPr>
    </w:p>
    <w:p>
      <w:pPr>
        <w:ind w:firstLine="629"/>
        <w:spacing w:after="0" w:line="274" w:lineRule="auto"/>
        <w:rPr>
          <w:sz w:val="20"/>
          <w:szCs w:val="20"/>
          <w:color w:val="auto"/>
        </w:rPr>
      </w:pPr>
      <w:r>
        <w:rPr>
          <w:rFonts w:ascii="Arial" w:cs="Arial" w:eastAsia="Arial" w:hAnsi="Arial"/>
          <w:sz w:val="19"/>
          <w:szCs w:val="19"/>
          <w:color w:val="auto"/>
        </w:rPr>
        <w:t>5.3 Attach a list of the hazardous wastes, if any, generated or to be generated at the premises, its hazard class and the quantity generated on a monthly basis.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5.4 Describe the method(s) of disposal for each waste. Indicate where and how often disposal will take place.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On-site treatment or recovery</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Discharged to sewer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Transported and disposed of off-site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Incinerator</w:t>
      </w:r>
    </w:p>
    <w:p>
      <w:pPr>
        <w:spacing w:after="0" w:line="175" w:lineRule="exact"/>
        <w:rPr>
          <w:sz w:val="20"/>
          <w:szCs w:val="20"/>
          <w:color w:val="auto"/>
        </w:rPr>
      </w:pPr>
    </w:p>
    <w:p>
      <w:pPr>
        <w:ind w:firstLine="629"/>
        <w:spacing w:after="0" w:line="288" w:lineRule="auto"/>
        <w:rPr>
          <w:sz w:val="20"/>
          <w:szCs w:val="20"/>
          <w:color w:val="auto"/>
        </w:rPr>
      </w:pPr>
      <w:r>
        <w:rPr>
          <w:rFonts w:ascii="Arial" w:cs="Arial" w:eastAsia="Arial" w:hAnsi="Arial"/>
          <w:sz w:val="19"/>
          <w:szCs w:val="19"/>
          <w:color w:val="auto"/>
        </w:rPr>
        <w:t>5.5 Indicate the name of the person(s) responsible for maintaining copies of hazardous waste manifests completed for off-site shipments of hazardous waste.</w:t>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5.6 Is any treatment of processing of hazardous wastes currently conducted or proposed to be conducted at the premises: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yes, please describe any existing or proposed treatment methods.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5.7 Attach copies of any hazardous waste permits or licenses issued to your company with respect to its operations at the premises.</w:t>
      </w:r>
    </w:p>
    <w:p>
      <w:pPr>
        <w:spacing w:after="0" w:line="186" w:lineRule="exact"/>
        <w:rPr>
          <w:sz w:val="20"/>
          <w:szCs w:val="20"/>
          <w:color w:val="auto"/>
        </w:rPr>
      </w:pPr>
    </w:p>
    <w:p>
      <w:pPr>
        <w:ind w:left="200" w:hanging="195"/>
        <w:spacing w:after="0"/>
        <w:tabs>
          <w:tab w:leader="none" w:pos="2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WASTEWATER TREATMENT/DISCHARGE</w:t>
      </w:r>
    </w:p>
    <w:p>
      <w:pPr>
        <w:spacing w:after="0" w:line="161"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19"/>
          <w:szCs w:val="19"/>
          <w:color w:val="auto"/>
        </w:rPr>
        <w:t>6.1 Do you discharge wastewater to:</w:t>
      </w:r>
    </w:p>
    <w:p>
      <w:pPr>
        <w:spacing w:after="0" w:line="174"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19"/>
          <w:szCs w:val="19"/>
          <w:color w:val="auto"/>
        </w:rPr>
        <w:t>_____ storm drain? _____ sewer?</w:t>
      </w:r>
    </w:p>
    <w:p>
      <w:pPr>
        <w:spacing w:after="0" w:line="161" w:lineRule="exact"/>
        <w:rPr>
          <w:rFonts w:ascii="Arial" w:cs="Arial" w:eastAsia="Arial" w:hAnsi="Arial"/>
          <w:sz w:val="19"/>
          <w:szCs w:val="19"/>
          <w:color w:val="auto"/>
        </w:rPr>
      </w:pPr>
    </w:p>
    <w:p>
      <w:pPr>
        <w:ind w:left="640" w:right="6000" w:firstLine="629"/>
        <w:spacing w:after="0" w:line="474" w:lineRule="auto"/>
        <w:rPr>
          <w:rFonts w:ascii="Arial" w:cs="Arial" w:eastAsia="Arial" w:hAnsi="Arial"/>
          <w:sz w:val="19"/>
          <w:szCs w:val="19"/>
          <w:color w:val="auto"/>
        </w:rPr>
      </w:pPr>
      <w:r>
        <w:rPr>
          <w:rFonts w:ascii="Arial" w:cs="Arial" w:eastAsia="Arial" w:hAnsi="Arial"/>
          <w:sz w:val="17"/>
          <w:szCs w:val="17"/>
          <w:color w:val="auto"/>
        </w:rPr>
        <w:t>_____ surface water? _____ no industrial discharge 6.2 Is your wastewater treated before discharge?</w:t>
      </w:r>
    </w:p>
    <w:p>
      <w:pPr>
        <w:spacing w:after="0" w:line="1"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19"/>
          <w:szCs w:val="19"/>
          <w:color w:val="auto"/>
        </w:rPr>
        <w:t>Yes ______ No _____</w:t>
      </w:r>
    </w:p>
    <w:p>
      <w:pPr>
        <w:spacing w:after="0" w:line="174" w:lineRule="exact"/>
        <w:rPr>
          <w:rFonts w:ascii="Arial" w:cs="Arial" w:eastAsia="Arial" w:hAnsi="Arial"/>
          <w:sz w:val="19"/>
          <w:szCs w:val="19"/>
          <w:color w:val="auto"/>
        </w:rPr>
      </w:pPr>
    </w:p>
    <w:p>
      <w:pPr>
        <w:ind w:left="1260"/>
        <w:spacing w:after="0"/>
        <w:rPr>
          <w:rFonts w:ascii="Arial" w:cs="Arial" w:eastAsia="Arial" w:hAnsi="Arial"/>
          <w:sz w:val="19"/>
          <w:szCs w:val="19"/>
          <w:color w:val="auto"/>
        </w:rPr>
      </w:pPr>
      <w:r>
        <w:rPr>
          <w:rFonts w:ascii="Arial" w:cs="Arial" w:eastAsia="Arial" w:hAnsi="Arial"/>
          <w:sz w:val="19"/>
          <w:szCs w:val="19"/>
          <w:color w:val="auto"/>
        </w:rPr>
        <w:t>If yes, describe the type of treatment conducted.</w:t>
      </w:r>
    </w:p>
    <w:p>
      <w:pPr>
        <w:spacing w:after="0" w:line="200" w:lineRule="exact"/>
        <w:rPr>
          <w:sz w:val="20"/>
          <w:szCs w:val="20"/>
          <w:color w:val="auto"/>
        </w:rPr>
      </w:pPr>
    </w:p>
    <w:p>
      <w:pPr>
        <w:spacing w:after="0" w:line="3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6.3 Attach copies of any wastewater discharge permits issued to your company with respect to its operations at the premises.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7. AIR DISCHARGES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7.1 Do you have any filtration systems or stacks that discharge into the 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9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7.2 Do you operate any of the following types of equipment or any other equipment requiring an air emissions permit?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Spray booth</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Dip tank</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Drying oven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Incinerator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Other (please describe)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_____ No equipment requiring air permits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7.3 Are air emissions from your operations monitored?</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so, indicate the frequency of monitoring and a description of the monitoring results.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7.4 Attach copies of any air emissions permits pertaining to your operations at the premises.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8. HAZARDOUS MATERIALS DISCLOSURES</w:t>
      </w:r>
    </w:p>
    <w:p>
      <w:pPr>
        <w:spacing w:after="0" w:line="175" w:lineRule="exact"/>
        <w:rPr>
          <w:sz w:val="20"/>
          <w:szCs w:val="20"/>
          <w:color w:val="auto"/>
        </w:rPr>
      </w:pPr>
    </w:p>
    <w:p>
      <w:pPr>
        <w:ind w:firstLine="629"/>
        <w:spacing w:after="0" w:line="274" w:lineRule="auto"/>
        <w:rPr>
          <w:sz w:val="20"/>
          <w:szCs w:val="20"/>
          <w:color w:val="auto"/>
        </w:rPr>
      </w:pPr>
      <w:r>
        <w:rPr>
          <w:rFonts w:ascii="Arial" w:cs="Arial" w:eastAsia="Arial" w:hAnsi="Arial"/>
          <w:sz w:val="19"/>
          <w:szCs w:val="19"/>
          <w:color w:val="auto"/>
        </w:rPr>
        <w:t>8.1 Does your company handle hazardous materials in a quantity equal to or exceeding an aggregate of 500 pounds, 55 gallons, or 200 cubic feet per month?</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ind w:firstLine="629"/>
        <w:spacing w:after="0" w:line="274" w:lineRule="auto"/>
        <w:rPr>
          <w:sz w:val="20"/>
          <w:szCs w:val="20"/>
          <w:color w:val="auto"/>
        </w:rPr>
      </w:pPr>
      <w:r>
        <w:rPr>
          <w:rFonts w:ascii="Arial" w:cs="Arial" w:eastAsia="Arial" w:hAnsi="Arial"/>
          <w:sz w:val="19"/>
          <w:szCs w:val="19"/>
          <w:color w:val="auto"/>
        </w:rPr>
        <w:t>8.2 Has your company prepared a hazardous materials management plan pursuant to any applicable requirements of a local fire department or governmental agency?</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so, attach a copy of the business plan.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8.3 Has your company adopted any voluntary environmental, health or safety program?</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 No _____</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so, attach a copy of the program.</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9. ENFORCEMENT ACTIONS, COMPLAINTS</w:t>
      </w:r>
    </w:p>
    <w:p>
      <w:pPr>
        <w:spacing w:after="0" w:line="162" w:lineRule="exact"/>
        <w:rPr>
          <w:sz w:val="20"/>
          <w:szCs w:val="20"/>
          <w:color w:val="auto"/>
        </w:rPr>
      </w:pPr>
    </w:p>
    <w:p>
      <w:pPr>
        <w:ind w:left="1260" w:right="1440" w:hanging="628"/>
        <w:spacing w:after="0" w:line="424" w:lineRule="auto"/>
        <w:rPr>
          <w:sz w:val="20"/>
          <w:szCs w:val="20"/>
          <w:color w:val="auto"/>
        </w:rPr>
      </w:pPr>
      <w:r>
        <w:rPr>
          <w:rFonts w:ascii="Arial" w:cs="Arial" w:eastAsia="Arial" w:hAnsi="Arial"/>
          <w:sz w:val="19"/>
          <w:szCs w:val="19"/>
          <w:color w:val="auto"/>
        </w:rPr>
        <w:t>9.1 Has your company ever been subject to any agency enforcement actions, administrative orders, or consent decrees? Yes ______ No _____</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so, describe the actions and any continuing compliance obligations imposed as a result of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99" w:lineRule="exact"/>
        <w:rPr>
          <w:sz w:val="20"/>
          <w:szCs w:val="20"/>
          <w:color w:val="auto"/>
        </w:rPr>
      </w:pPr>
    </w:p>
    <w:p>
      <w:pPr>
        <w:ind w:left="1260" w:right="240" w:hanging="628"/>
        <w:spacing w:after="0" w:line="424" w:lineRule="auto"/>
        <w:rPr>
          <w:sz w:val="20"/>
          <w:szCs w:val="20"/>
          <w:color w:val="auto"/>
        </w:rPr>
      </w:pPr>
      <w:r>
        <w:rPr>
          <w:rFonts w:ascii="Arial" w:cs="Arial" w:eastAsia="Arial" w:hAnsi="Arial"/>
          <w:sz w:val="19"/>
          <w:szCs w:val="19"/>
          <w:color w:val="auto"/>
        </w:rPr>
        <w:t>9.2 Has your company ever received requests for information, notice or demand letters, or any other inquiries regarding its operations? Yes ______ No _____</w:t>
      </w:r>
    </w:p>
    <w:p>
      <w:pPr>
        <w:spacing w:after="0" w:line="2" w:lineRule="exact"/>
        <w:rPr>
          <w:sz w:val="20"/>
          <w:szCs w:val="20"/>
          <w:color w:val="auto"/>
        </w:rPr>
      </w:pPr>
    </w:p>
    <w:p>
      <w:pPr>
        <w:ind w:firstLine="629"/>
        <w:spacing w:after="0" w:line="288" w:lineRule="auto"/>
        <w:rPr>
          <w:sz w:val="20"/>
          <w:szCs w:val="20"/>
          <w:color w:val="auto"/>
        </w:rPr>
      </w:pPr>
      <w:r>
        <w:rPr>
          <w:rFonts w:ascii="Arial" w:cs="Arial" w:eastAsia="Arial" w:hAnsi="Arial"/>
          <w:sz w:val="19"/>
          <w:szCs w:val="19"/>
          <w:color w:val="auto"/>
        </w:rPr>
        <w:t>9.3 Have there ever been, or are there now pending, any lawsuits against the company regarding any environmental or health and safety concerns?</w:t>
      </w:r>
    </w:p>
    <w:p>
      <w:pPr>
        <w:spacing w:after="0" w:line="9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9.4 Has an environmental audit ever been conducted at your company’s current facility?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Yes ______ No _____</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If so, identify who conducted the audit and when it was conducted.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Tenant: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1240"/>
          </w:cols>
          <w:pgMar w:left="320" w:top="1440"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b w:val="1"/>
          <w:bCs w:val="1"/>
          <w:color w:val="auto"/>
        </w:rPr>
        <w:t>EXHIBIT 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Matrix Service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Inc., an Oklahoma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Canada ULC, an Alberta, Canada unlimited liability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North American Construction, Inc., an Oklahoma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North American Construction, Ltd., a Canadian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North American Construction,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SME Canada, Inc., a Delaware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SME Canada ULC, a Nova Scotia, Canada unlimited liability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PDM Engineering, Inc., a Delaware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PDM,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Inc., a Delaware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International Holding Company, Ltd., a British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Ltd., a South Korean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Pty. Ltd., an Australian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River Consulting, LLC, a Louisiana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Products and Services S. de R.L. de C.V., a Mexican limited liability variable stock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VI, LLC, a U.S. Virgin Island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Mobile Aquatic Solutions, Inc., an Oklahoma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MSI Federal Contracting,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Devco USA,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Houston Dynamics, LLC, a Qatar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Service International,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FZ-LLC, a UAE free zone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Applied Technologies Pte Ltd, a Singapore limited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PDM Engineering Ltd., a Nova Scotia limited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Engineering &amp; Technical Solutions,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Matrix Project Services, LLC, a Delaware limited liability company</w:t>
      </w:r>
    </w:p>
    <w:p>
      <w:pPr>
        <w:sectPr>
          <w:pgSz w:w="11900" w:h="16838" w:orient="portrait"/>
          <w:cols w:equalWidth="0" w:num="1">
            <w:col w:w="11240"/>
          </w:cols>
          <w:pgMar w:left="320" w:top="869"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 on Form S-8:</w:t>
      </w:r>
    </w:p>
    <w:p>
      <w:pPr>
        <w:spacing w:after="0" w:line="250" w:lineRule="exact"/>
        <w:rPr>
          <w:sz w:val="20"/>
          <w:szCs w:val="20"/>
          <w:color w:val="auto"/>
        </w:rPr>
      </w:pPr>
    </w:p>
    <w:p>
      <w:pPr>
        <w:jc w:val="both"/>
        <w:ind w:left="320" w:right="780"/>
        <w:spacing w:after="0" w:line="615" w:lineRule="auto"/>
        <w:rPr>
          <w:sz w:val="20"/>
          <w:szCs w:val="20"/>
          <w:color w:val="auto"/>
        </w:rPr>
      </w:pPr>
      <w:r>
        <w:rPr>
          <w:rFonts w:ascii="Arial" w:cs="Arial" w:eastAsia="Arial" w:hAnsi="Arial"/>
          <w:sz w:val="15"/>
          <w:szCs w:val="15"/>
          <w:color w:val="auto"/>
        </w:rPr>
        <w:t>Registration Statement on Form S-8 (File No. 333-249818) related to the Matrix Service Company 2020 Stock and Incentive Compensation Plan Registration Statement on Form S-8 (File No. 333-228052) related to the Matrix Service Company 2018 Stock and Incentive Compensation Plan Registration Statement on Form S-8 (File No. 333-214590) related to the Matrix Service Company 2016 Stock and Incentive Compensation Plan Registration Statement on Form S-8 (File No. 333-171247) related to the Matrix Service Company 2011 Employee Stock Purchase Plan</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 our reports dated October 11, 2022, relating to the financial statements of Matrix Service Company, and the effectiveness of Matrix Service Company’s internal control over financial reporting appearing in this Annual Report on Form 10-K for the year ended June 30, 2022.</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Tulsa, Oklahoma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11, 2022</w:t>
      </w:r>
    </w:p>
    <w:p>
      <w:pPr>
        <w:sectPr>
          <w:pgSz w:w="11900" w:h="16838" w:orient="portrait"/>
          <w:cols w:equalWidth="0" w:num="1">
            <w:col w:w="11240"/>
          </w:cols>
          <w:pgMar w:left="320" w:top="960"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color w:val="auto"/>
        </w:rPr>
        <w:t>Exhibit 31.1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John R. Hewitt, certify that:</w:t>
      </w:r>
    </w:p>
    <w:p>
      <w:pPr>
        <w:spacing w:after="0" w:line="172" w:lineRule="exact"/>
        <w:rPr>
          <w:sz w:val="20"/>
          <w:szCs w:val="20"/>
          <w:color w:val="auto"/>
        </w:rPr>
      </w:pPr>
    </w:p>
    <w:p>
      <w:pPr>
        <w:ind w:left="940" w:hanging="306"/>
        <w:spacing w:after="0"/>
        <w:tabs>
          <w:tab w:leader="none" w:pos="9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Matrix Service Company;</w:t>
      </w:r>
    </w:p>
    <w:p>
      <w:pPr>
        <w:spacing w:after="0" w:line="171" w:lineRule="exact"/>
        <w:rPr>
          <w:rFonts w:ascii="Arial" w:cs="Arial" w:eastAsia="Arial" w:hAnsi="Arial"/>
          <w:sz w:val="17"/>
          <w:szCs w:val="17"/>
          <w:color w:val="auto"/>
        </w:rPr>
      </w:pPr>
    </w:p>
    <w:p>
      <w:pPr>
        <w:jc w:val="both"/>
        <w:ind w:left="940" w:right="120" w:hanging="306"/>
        <w:spacing w:after="0" w:line="273" w:lineRule="auto"/>
        <w:tabs>
          <w:tab w:leader="none" w:pos="9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940" w:right="80" w:hanging="306"/>
        <w:spacing w:after="0" w:line="289" w:lineRule="auto"/>
        <w:tabs>
          <w:tab w:leader="none" w:pos="9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940" w:right="120" w:hanging="306"/>
        <w:spacing w:after="0" w:line="273" w:lineRule="auto"/>
        <w:tabs>
          <w:tab w:leader="none" w:pos="9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ind w:left="1580" w:right="120" w:hanging="631"/>
        <w:spacing w:after="0" w:line="273" w:lineRule="auto"/>
        <w:tabs>
          <w:tab w:leader="none" w:pos="157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1580" w:right="60" w:hanging="631"/>
        <w:spacing w:after="0" w:line="273" w:lineRule="auto"/>
        <w:tabs>
          <w:tab w:leader="none" w:pos="15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jc w:val="both"/>
        <w:ind w:left="1580" w:right="220" w:hanging="631"/>
        <w:spacing w:after="0" w:line="360" w:lineRule="auto"/>
        <w:tabs>
          <w:tab w:leader="none" w:pos="1570" w:val="left"/>
        </w:tabs>
        <w:numPr>
          <w:ilvl w:val="1"/>
          <w:numId w:val="7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5"/>
          <w:szCs w:val="15"/>
          <w:color w:val="auto"/>
        </w:rPr>
      </w:pPr>
    </w:p>
    <w:p>
      <w:pPr>
        <w:ind w:left="1580" w:right="220" w:hanging="631"/>
        <w:spacing w:after="0" w:line="273" w:lineRule="auto"/>
        <w:tabs>
          <w:tab w:leader="none" w:pos="15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940" w:right="20" w:hanging="306"/>
        <w:spacing w:after="0" w:line="322" w:lineRule="auto"/>
        <w:tabs>
          <w:tab w:leader="none" w:pos="9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580" w:right="460" w:hanging="631"/>
        <w:spacing w:after="0" w:line="322" w:lineRule="auto"/>
        <w:tabs>
          <w:tab w:leader="none" w:pos="157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80" w:right="140" w:hanging="631"/>
        <w:spacing w:after="0" w:line="289" w:lineRule="auto"/>
        <w:tabs>
          <w:tab w:leader="none" w:pos="15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October 11, 2022</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3647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R. Hewitt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9"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7"/>
          <w:szCs w:val="17"/>
          <w:b w:val="1"/>
          <w:bCs w:val="1"/>
          <w:color w:val="auto"/>
        </w:rPr>
        <w:t>Exhibit 31.2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Kevin S. Cavanah, certify that:</w:t>
      </w:r>
    </w:p>
    <w:p>
      <w:pPr>
        <w:spacing w:after="0" w:line="172" w:lineRule="exact"/>
        <w:rPr>
          <w:sz w:val="20"/>
          <w:szCs w:val="20"/>
          <w:color w:val="auto"/>
        </w:rPr>
      </w:pPr>
    </w:p>
    <w:p>
      <w:pPr>
        <w:ind w:left="940" w:hanging="306"/>
        <w:spacing w:after="0"/>
        <w:tabs>
          <w:tab w:leader="none" w:pos="9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Matrix Service Company;</w:t>
      </w:r>
    </w:p>
    <w:p>
      <w:pPr>
        <w:spacing w:after="0" w:line="171" w:lineRule="exact"/>
        <w:rPr>
          <w:rFonts w:ascii="Arial" w:cs="Arial" w:eastAsia="Arial" w:hAnsi="Arial"/>
          <w:sz w:val="17"/>
          <w:szCs w:val="17"/>
          <w:color w:val="auto"/>
        </w:rPr>
      </w:pPr>
    </w:p>
    <w:p>
      <w:pPr>
        <w:jc w:val="both"/>
        <w:ind w:left="940" w:right="120" w:hanging="306"/>
        <w:spacing w:after="0" w:line="273" w:lineRule="auto"/>
        <w:tabs>
          <w:tab w:leader="none" w:pos="9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940" w:right="80" w:hanging="306"/>
        <w:spacing w:after="0" w:line="289" w:lineRule="auto"/>
        <w:tabs>
          <w:tab w:leader="none" w:pos="9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940" w:right="120" w:hanging="306"/>
        <w:spacing w:after="0" w:line="273" w:lineRule="auto"/>
        <w:tabs>
          <w:tab w:leader="none" w:pos="9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ind w:left="1580" w:right="120" w:hanging="631"/>
        <w:spacing w:after="0" w:line="273" w:lineRule="auto"/>
        <w:tabs>
          <w:tab w:leader="none" w:pos="157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ind w:left="1580" w:right="60" w:hanging="631"/>
        <w:spacing w:after="0" w:line="273" w:lineRule="auto"/>
        <w:tabs>
          <w:tab w:leader="none" w:pos="15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jc w:val="both"/>
        <w:ind w:left="1580" w:right="220" w:hanging="631"/>
        <w:spacing w:after="0" w:line="360" w:lineRule="auto"/>
        <w:tabs>
          <w:tab w:leader="none" w:pos="1570" w:val="left"/>
        </w:tabs>
        <w:numPr>
          <w:ilvl w:val="1"/>
          <w:numId w:val="7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5"/>
          <w:szCs w:val="15"/>
          <w:color w:val="auto"/>
        </w:rPr>
      </w:pPr>
    </w:p>
    <w:p>
      <w:pPr>
        <w:ind w:left="1580" w:right="220" w:hanging="631"/>
        <w:spacing w:after="0" w:line="273" w:lineRule="auto"/>
        <w:tabs>
          <w:tab w:leader="none" w:pos="15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940" w:right="20" w:hanging="306"/>
        <w:spacing w:after="0" w:line="322" w:lineRule="auto"/>
        <w:tabs>
          <w:tab w:leader="none" w:pos="9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580" w:right="460" w:hanging="631"/>
        <w:spacing w:after="0" w:line="322" w:lineRule="auto"/>
        <w:tabs>
          <w:tab w:leader="none" w:pos="157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80" w:right="140" w:hanging="631"/>
        <w:spacing w:after="0" w:line="289" w:lineRule="auto"/>
        <w:tabs>
          <w:tab w:leader="none" w:pos="15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7"/>
          <w:szCs w:val="17"/>
          <w:color w:val="auto"/>
        </w:rPr>
        <w:t>Date:</w:t>
        <w:tab/>
        <w:t>October 11, 2022</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7393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273939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Kevin S. Cavanah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and Chief Financial Officer</w:t>
      </w:r>
    </w:p>
    <w:p>
      <w:pPr>
        <w:sectPr>
          <w:pgSz w:w="11900" w:h="16838" w:orient="portrait"/>
          <w:cols w:equalWidth="0" w:num="1">
            <w:col w:w="11240"/>
          </w:cols>
          <w:pgMar w:left="320" w:top="869"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b w:val="1"/>
          <w:bCs w:val="1"/>
          <w:color w:val="auto"/>
        </w:rPr>
        <w:t>EXHIBIT 32.1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Sarbanes-Oxley Act of 2002</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2022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8" w:lineRule="exact"/>
        <w:rPr>
          <w:sz w:val="20"/>
          <w:szCs w:val="20"/>
          <w:color w:val="auto"/>
        </w:rPr>
      </w:pPr>
    </w:p>
    <w:p>
      <w:pPr>
        <w:ind w:left="1260" w:hanging="626"/>
        <w:spacing w:after="0"/>
        <w:tabs>
          <w:tab w:leader="none" w:pos="1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1260" w:right="600" w:hanging="626"/>
        <w:spacing w:after="0" w:line="289" w:lineRule="auto"/>
        <w:tabs>
          <w:tab w:leader="none" w:pos="1254"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October 11, 2022</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481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24815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R. Hewitt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9"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7"/>
          <w:szCs w:val="17"/>
          <w:b w:val="1"/>
          <w:bCs w:val="1"/>
          <w:color w:val="auto"/>
        </w:rPr>
        <w:t>EXHIBIT 32.2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Sarbanes-Oxley Act of 2002</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2022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98" w:lineRule="exact"/>
        <w:rPr>
          <w:sz w:val="20"/>
          <w:szCs w:val="20"/>
          <w:color w:val="auto"/>
        </w:rPr>
      </w:pPr>
    </w:p>
    <w:p>
      <w:pPr>
        <w:ind w:left="1260" w:hanging="626"/>
        <w:spacing w:after="0"/>
        <w:tabs>
          <w:tab w:leader="none" w:pos="1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0" w:lineRule="exact"/>
        <w:rPr>
          <w:rFonts w:ascii="Arial" w:cs="Arial" w:eastAsia="Arial" w:hAnsi="Arial"/>
          <w:sz w:val="17"/>
          <w:szCs w:val="17"/>
          <w:color w:val="auto"/>
        </w:rPr>
      </w:pPr>
    </w:p>
    <w:p>
      <w:pPr>
        <w:ind w:left="1260" w:right="600" w:hanging="626"/>
        <w:spacing w:after="0" w:line="289" w:lineRule="auto"/>
        <w:tabs>
          <w:tab w:leader="none" w:pos="1254"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4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7"/>
          <w:szCs w:val="17"/>
          <w:color w:val="auto"/>
        </w:rPr>
        <w:t>Date:</w:t>
        <w:tab/>
        <w:t>October 11, 2022</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7393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273939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Kevin S. Cavanah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and Chief Financial Officer</w:t>
      </w:r>
    </w:p>
    <w:p>
      <w:pPr>
        <w:sectPr>
          <w:pgSz w:w="11900" w:h="16838" w:orient="portrait"/>
          <w:cols w:equalWidth="0" w:num="1">
            <w:col w:w="11240"/>
          </w:cols>
          <w:pgMar w:left="320" w:top="869"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40"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than what is provided herein. Any such difference may be attributed to the need to update that information on MSHA’s system and/or other factors.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for the twelve months ended June 30, 2022:</w:t>
      </w:r>
    </w:p>
    <w:p>
      <w:pPr>
        <w:spacing w:after="0" w:line="203" w:lineRule="exact"/>
        <w:rPr>
          <w:sz w:val="20"/>
          <w:szCs w:val="20"/>
          <w:color w:val="auto"/>
        </w:rPr>
      </w:pPr>
    </w:p>
    <w:tbl>
      <w:tblPr>
        <w:tblLayout w:type="fixed"/>
        <w:tblInd w:w="50" w:type="dxa"/>
        <w:tblCellMar>
          <w:top w:w="0" w:type="dxa"/>
          <w:left w:w="0" w:type="dxa"/>
          <w:bottom w:w="0" w:type="dxa"/>
          <w:right w:w="0" w:type="dxa"/>
        </w:tblCellMar>
      </w:tblPr>
      <w:tr>
        <w:trPr>
          <w:trHeight w:val="174"/>
        </w:trPr>
        <w:tc>
          <w:tcPr>
            <w:tcW w:w="1000" w:type="dxa"/>
            <w:vAlign w:val="bottom"/>
            <w:tcBorders>
              <w:top w:val="single" w:sz="8" w:color="auto"/>
              <w:left w:val="single" w:sz="8" w:color="auto"/>
              <w:right w:val="single" w:sz="8" w:color="auto"/>
            </w:tcBorders>
          </w:tcPr>
          <w:p>
            <w:pPr>
              <w:spacing w:after="0"/>
              <w:rPr>
                <w:sz w:val="15"/>
                <w:szCs w:val="15"/>
                <w:color w:val="auto"/>
              </w:rPr>
            </w:pPr>
          </w:p>
        </w:tc>
        <w:tc>
          <w:tcPr>
            <w:tcW w:w="9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Received Notice</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Received Notice</w:t>
            </w:r>
          </w:p>
        </w:tc>
        <w:tc>
          <w:tcPr>
            <w:tcW w:w="84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of Pattern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of Potential to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4"/>
              </w:rPr>
              <w:t>Total Number of</w:t>
            </w: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00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rPr>
              <w:t>Violations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4"/>
              </w:rPr>
              <w:t>Have Pattern of</w:t>
            </w:r>
          </w:p>
        </w:tc>
        <w:tc>
          <w:tcPr>
            <w:tcW w:w="84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000" w:type="dxa"/>
            <w:vAlign w:val="bottom"/>
            <w:tcBorders>
              <w:left w:val="single" w:sz="8" w:color="auto"/>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7"/>
              </w:rPr>
              <w:t>Mine or Operating</w:t>
            </w:r>
          </w:p>
        </w:tc>
        <w:tc>
          <w:tcPr>
            <w:tcW w:w="94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5"/>
              </w:rPr>
              <w:t>Total Number</w:t>
            </w:r>
          </w:p>
        </w:tc>
        <w:tc>
          <w:tcPr>
            <w:tcW w:w="840" w:type="dxa"/>
            <w:vAlign w:val="bottom"/>
            <w:tcBorders>
              <w:right w:val="single" w:sz="8" w:color="auto"/>
            </w:tcBorders>
            <w:vMerge w:val="continue"/>
          </w:tcPr>
          <w:p>
            <w:pPr>
              <w:spacing w:after="0"/>
              <w:rPr>
                <w:sz w:val="4"/>
                <w:szCs w:val="4"/>
                <w:color w:val="auto"/>
              </w:rPr>
            </w:pPr>
          </w:p>
        </w:tc>
        <w:tc>
          <w:tcPr>
            <w:tcW w:w="92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9"/>
              </w:rPr>
              <w:t>Legal Actions</w:t>
            </w:r>
          </w:p>
        </w:tc>
        <w:tc>
          <w:tcPr>
            <w:tcW w:w="84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4"/>
              </w:rPr>
              <w:t>Total Number of</w:t>
            </w:r>
          </w:p>
        </w:tc>
        <w:tc>
          <w:tcPr>
            <w:tcW w:w="90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7"/>
              </w:rPr>
              <w:t>Total Number of</w:t>
            </w:r>
          </w:p>
        </w:tc>
        <w:tc>
          <w:tcPr>
            <w:tcW w:w="0" w:type="dxa"/>
            <w:vAlign w:val="bottom"/>
          </w:tcPr>
          <w:p>
            <w:pPr>
              <w:spacing w:after="0"/>
              <w:rPr>
                <w:sz w:val="1"/>
                <w:szCs w:val="1"/>
                <w:color w:val="auto"/>
              </w:rPr>
            </w:pPr>
          </w:p>
        </w:tc>
      </w:tr>
      <w:tr>
        <w:trPr>
          <w:trHeight w:val="52"/>
        </w:trPr>
        <w:tc>
          <w:tcPr>
            <w:tcW w:w="1000" w:type="dxa"/>
            <w:vAlign w:val="bottom"/>
            <w:tcBorders>
              <w:left w:val="single" w:sz="8" w:color="auto"/>
              <w:right w:val="single" w:sz="8" w:color="auto"/>
            </w:tcBorders>
            <w:vMerge w:val="continue"/>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 104(d)</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w:t>
            </w:r>
          </w:p>
        </w:tc>
        <w:tc>
          <w:tcPr>
            <w:tcW w:w="102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4"/>
              </w:rPr>
              <w:t>Under Section</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8"/>
              </w:rPr>
              <w:t>Violations Under</w:t>
            </w:r>
          </w:p>
        </w:tc>
        <w:tc>
          <w:tcPr>
            <w:tcW w:w="840" w:type="dxa"/>
            <w:vAlign w:val="bottom"/>
            <w:tcBorders>
              <w:right w:val="single" w:sz="8" w:color="auto"/>
            </w:tcBorders>
            <w:vMerge w:val="continue"/>
          </w:tcPr>
          <w:p>
            <w:pPr>
              <w:spacing w:after="0"/>
              <w:rPr>
                <w:sz w:val="4"/>
                <w:szCs w:val="4"/>
                <w:color w:val="auto"/>
              </w:rPr>
            </w:pPr>
          </w:p>
        </w:tc>
        <w:tc>
          <w:tcPr>
            <w:tcW w:w="84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000" w:type="dxa"/>
            <w:vAlign w:val="bottom"/>
            <w:tcBorders>
              <w:left w:val="single" w:sz="8" w:color="auto"/>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9"/>
              </w:rPr>
              <w:t>Name/MSHA</w:t>
            </w:r>
          </w:p>
        </w:tc>
        <w:tc>
          <w:tcPr>
            <w:tcW w:w="94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9"/>
              </w:rPr>
              <w:t>Total Dollar Value of</w:t>
            </w:r>
          </w:p>
        </w:tc>
        <w:tc>
          <w:tcPr>
            <w:tcW w:w="76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rPr>
              <w:t>of Mining</w:t>
            </w:r>
          </w:p>
        </w:tc>
        <w:tc>
          <w:tcPr>
            <w:tcW w:w="84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1"/>
              </w:rPr>
              <w:t>Pending as of</w:t>
            </w:r>
          </w:p>
        </w:tc>
        <w:tc>
          <w:tcPr>
            <w:tcW w:w="84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9"/>
              </w:rPr>
              <w:t>Legal Actions</w:t>
            </w:r>
          </w:p>
        </w:tc>
        <w:tc>
          <w:tcPr>
            <w:tcW w:w="900" w:type="dxa"/>
            <w:vAlign w:val="bottom"/>
            <w:tcBorders>
              <w:right w:val="single" w:sz="8" w:color="auto"/>
            </w:tcBorders>
            <w:vMerge w:val="restart"/>
          </w:tcPr>
          <w:p>
            <w:pPr>
              <w:jc w:val="center"/>
              <w:spacing w:after="0" w:line="105" w:lineRule="exact"/>
              <w:rPr>
                <w:sz w:val="20"/>
                <w:szCs w:val="20"/>
                <w:color w:val="auto"/>
              </w:rPr>
            </w:pPr>
            <w:r>
              <w:rPr>
                <w:rFonts w:ascii="Arial" w:cs="Arial" w:eastAsia="Arial" w:hAnsi="Arial"/>
                <w:sz w:val="10"/>
                <w:szCs w:val="10"/>
                <w:color w:val="auto"/>
                <w:w w:val="96"/>
              </w:rPr>
              <w:t>Legal Actions</w:t>
            </w:r>
          </w:p>
        </w:tc>
        <w:tc>
          <w:tcPr>
            <w:tcW w:w="0" w:type="dxa"/>
            <w:vAlign w:val="bottom"/>
          </w:tcPr>
          <w:p>
            <w:pPr>
              <w:spacing w:after="0"/>
              <w:rPr>
                <w:sz w:val="1"/>
                <w:szCs w:val="1"/>
                <w:color w:val="auto"/>
              </w:rPr>
            </w:pPr>
          </w:p>
        </w:tc>
      </w:tr>
      <w:tr>
        <w:trPr>
          <w:trHeight w:val="31"/>
        </w:trPr>
        <w:tc>
          <w:tcPr>
            <w:tcW w:w="1000" w:type="dxa"/>
            <w:vAlign w:val="bottom"/>
            <w:tcBorders>
              <w:left w:val="single" w:sz="8" w:color="auto"/>
              <w:right w:val="single" w:sz="8" w:color="auto"/>
            </w:tcBorders>
            <w:vMerge w:val="continue"/>
          </w:tcPr>
          <w:p>
            <w:pPr>
              <w:spacing w:after="0"/>
              <w:rPr>
                <w:sz w:val="2"/>
                <w:szCs w:val="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 104 S&amp;S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5"/>
              </w:rPr>
              <w:t>Section 104(b)</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2"/>
              </w:rPr>
              <w:t>Citations and</w:t>
            </w:r>
          </w:p>
        </w:tc>
        <w:tc>
          <w:tcPr>
            <w:tcW w:w="780" w:type="dxa"/>
            <w:vAlign w:val="bottom"/>
            <w:tcBorders>
              <w:right w:val="single" w:sz="8" w:color="auto"/>
            </w:tcBorders>
            <w:vMerge w:val="restart"/>
          </w:tcPr>
          <w:p>
            <w:pPr>
              <w:jc w:val="right"/>
              <w:ind w:right="288"/>
              <w:spacing w:after="0"/>
              <w:rPr>
                <w:sz w:val="20"/>
                <w:szCs w:val="20"/>
                <w:color w:val="auto"/>
              </w:rPr>
            </w:pPr>
            <w:r>
              <w:rPr>
                <w:rFonts w:ascii="Arial" w:cs="Arial" w:eastAsia="Arial" w:hAnsi="Arial"/>
                <w:sz w:val="10"/>
                <w:szCs w:val="10"/>
                <w:color w:val="auto"/>
              </w:rPr>
              <w:t>(2)</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6"/>
              </w:rPr>
              <w:t>107(a)</w:t>
            </w:r>
          </w:p>
        </w:tc>
        <w:tc>
          <w:tcPr>
            <w:tcW w:w="1020" w:type="dxa"/>
            <w:vAlign w:val="bottom"/>
            <w:tcBorders>
              <w:right w:val="single" w:sz="8" w:color="auto"/>
            </w:tcBorders>
            <w:vMerge w:val="continue"/>
          </w:tcPr>
          <w:p>
            <w:pPr>
              <w:spacing w:after="0"/>
              <w:rPr>
                <w:sz w:val="2"/>
                <w:szCs w:val="2"/>
                <w:color w:val="auto"/>
              </w:rPr>
            </w:pPr>
          </w:p>
        </w:tc>
        <w:tc>
          <w:tcPr>
            <w:tcW w:w="76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0"/>
                <w:szCs w:val="10"/>
                <w:color w:val="auto"/>
                <w:w w:val="91"/>
              </w:rPr>
              <w:t>104(e)</w:t>
            </w:r>
            <w:r>
              <w:rPr>
                <w:rFonts w:ascii="Arial" w:cs="Arial" w:eastAsia="Arial" w:hAnsi="Arial"/>
                <w:sz w:val="13"/>
                <w:szCs w:val="13"/>
                <w:color w:val="auto"/>
                <w:w w:val="91"/>
                <w:vertAlign w:val="superscript"/>
              </w:rPr>
              <w:t>(6)</w:t>
            </w:r>
          </w:p>
        </w:tc>
        <w:tc>
          <w:tcPr>
            <w:tcW w:w="9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0"/>
                <w:szCs w:val="10"/>
                <w:color w:val="auto"/>
                <w:w w:val="92"/>
              </w:rPr>
              <w:t>Section 104(e)</w:t>
            </w:r>
            <w:r>
              <w:rPr>
                <w:rFonts w:ascii="Arial" w:cs="Arial" w:eastAsia="Arial" w:hAnsi="Arial"/>
                <w:sz w:val="13"/>
                <w:szCs w:val="13"/>
                <w:color w:val="auto"/>
                <w:w w:val="92"/>
                <w:vertAlign w:val="superscript"/>
              </w:rPr>
              <w:t>(7)</w:t>
            </w:r>
          </w:p>
        </w:tc>
        <w:tc>
          <w:tcPr>
            <w:tcW w:w="84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continue"/>
          </w:tcPr>
          <w:p>
            <w:pPr>
              <w:spacing w:after="0"/>
              <w:rPr>
                <w:sz w:val="2"/>
                <w:szCs w:val="2"/>
                <w:color w:val="auto"/>
              </w:rPr>
            </w:pPr>
          </w:p>
        </w:tc>
        <w:tc>
          <w:tcPr>
            <w:tcW w:w="9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1000" w:type="dxa"/>
            <w:vAlign w:val="bottom"/>
            <w:tcBorders>
              <w:left w:val="single" w:sz="8" w:color="auto"/>
              <w:right w:val="single" w:sz="8" w:color="auto"/>
            </w:tcBorders>
          </w:tcPr>
          <w:p>
            <w:pPr>
              <w:jc w:val="center"/>
              <w:spacing w:after="0" w:line="102" w:lineRule="exact"/>
              <w:rPr>
                <w:sz w:val="20"/>
                <w:szCs w:val="20"/>
                <w:color w:val="auto"/>
              </w:rPr>
            </w:pPr>
            <w:r>
              <w:rPr>
                <w:rFonts w:ascii="Arial" w:cs="Arial" w:eastAsia="Arial" w:hAnsi="Arial"/>
                <w:sz w:val="10"/>
                <w:szCs w:val="10"/>
                <w:color w:val="auto"/>
                <w:w w:val="99"/>
              </w:rPr>
              <w:t>Identification</w:t>
            </w:r>
          </w:p>
        </w:tc>
        <w:tc>
          <w:tcPr>
            <w:tcW w:w="9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color w:val="auto"/>
                <w:w w:val="94"/>
              </w:rPr>
              <w:t>MSHA Assessments</w:t>
            </w:r>
          </w:p>
        </w:tc>
        <w:tc>
          <w:tcPr>
            <w:tcW w:w="7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color w:val="auto"/>
                <w:w w:val="92"/>
              </w:rPr>
              <w:t>Related</w:t>
            </w:r>
          </w:p>
        </w:tc>
        <w:tc>
          <w:tcPr>
            <w:tcW w:w="84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color w:val="auto"/>
                <w:w w:val="94"/>
              </w:rPr>
              <w:t>Last Day of</w:t>
            </w:r>
          </w:p>
        </w:tc>
        <w:tc>
          <w:tcPr>
            <w:tcW w:w="84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color w:val="auto"/>
              </w:rPr>
              <w:t>Initiated During</w:t>
            </w:r>
          </w:p>
        </w:tc>
        <w:tc>
          <w:tcPr>
            <w:tcW w:w="90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0"/>
                <w:szCs w:val="10"/>
                <w:color w:val="auto"/>
                <w:w w:val="94"/>
              </w:rPr>
              <w:t>Resolved During</w:t>
            </w:r>
          </w:p>
        </w:tc>
        <w:tc>
          <w:tcPr>
            <w:tcW w:w="0" w:type="dxa"/>
            <w:vAlign w:val="bottom"/>
          </w:tcPr>
          <w:p>
            <w:pPr>
              <w:spacing w:after="0"/>
              <w:rPr>
                <w:sz w:val="1"/>
                <w:szCs w:val="1"/>
                <w:color w:val="auto"/>
              </w:rPr>
            </w:pPr>
          </w:p>
        </w:tc>
      </w:tr>
      <w:tr>
        <w:trPr>
          <w:trHeight w:val="190"/>
        </w:trPr>
        <w:tc>
          <w:tcPr>
            <w:tcW w:w="1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Number</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8"/>
              </w:rPr>
              <w:t>Citations</w:t>
            </w:r>
            <w:r>
              <w:rPr>
                <w:rFonts w:ascii="Arial" w:cs="Arial" w:eastAsia="Arial" w:hAnsi="Arial"/>
                <w:sz w:val="13"/>
                <w:szCs w:val="13"/>
                <w:color w:val="auto"/>
                <w:w w:val="88"/>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2"/>
              </w:rPr>
              <w:t>Orders</w:t>
            </w:r>
            <w:r>
              <w:rPr>
                <w:rFonts w:ascii="Arial" w:cs="Arial" w:eastAsia="Arial" w:hAnsi="Arial"/>
                <w:sz w:val="13"/>
                <w:szCs w:val="13"/>
                <w:color w:val="auto"/>
                <w:w w:val="92"/>
                <w:vertAlign w:val="superscript"/>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2"/>
              </w:rPr>
              <w:t>Orders</w:t>
            </w:r>
            <w:r>
              <w:rPr>
                <w:rFonts w:ascii="Arial" w:cs="Arial" w:eastAsia="Arial" w:hAnsi="Arial"/>
                <w:sz w:val="13"/>
                <w:szCs w:val="13"/>
                <w:color w:val="auto"/>
                <w:w w:val="92"/>
                <w:vertAlign w:val="superscript"/>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2"/>
              </w:rPr>
              <w:t>Violations</w:t>
            </w:r>
            <w:r>
              <w:rPr>
                <w:rFonts w:ascii="Arial" w:cs="Arial" w:eastAsia="Arial" w:hAnsi="Arial"/>
                <w:sz w:val="13"/>
                <w:szCs w:val="13"/>
                <w:color w:val="auto"/>
                <w:w w:val="92"/>
                <w:vertAlign w:val="superscript"/>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7"/>
              </w:rPr>
              <w:t>Orders</w:t>
            </w:r>
            <w:r>
              <w:rPr>
                <w:rFonts w:ascii="Arial" w:cs="Arial" w:eastAsia="Arial" w:hAnsi="Arial"/>
                <w:sz w:val="13"/>
                <w:szCs w:val="13"/>
                <w:color w:val="auto"/>
                <w:w w:val="87"/>
                <w:vertAlign w:val="superscript"/>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Proposed ($)</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Fatalities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Period</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Period</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6"/>
              </w:rPr>
              <w:t>Freeport-McMoran</w:t>
            </w:r>
          </w:p>
        </w:tc>
        <w:tc>
          <w:tcPr>
            <w:tcW w:w="9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00" w:type="dxa"/>
            <w:vAlign w:val="bottom"/>
            <w:tcBorders>
              <w:left w:val="single" w:sz="8" w:color="auto"/>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6"/>
              </w:rPr>
              <w:t>Bagdad Mine, 02-</w:t>
            </w:r>
          </w:p>
        </w:tc>
        <w:tc>
          <w:tcPr>
            <w:tcW w:w="9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7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78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7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w:t>
            </w:r>
          </w:p>
        </w:tc>
        <w:tc>
          <w:tcPr>
            <w:tcW w:w="10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76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3"/>
              </w:rPr>
              <w:t>No</w:t>
            </w:r>
          </w:p>
        </w:tc>
        <w:tc>
          <w:tcPr>
            <w:tcW w:w="92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No</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w:t>
            </w:r>
          </w:p>
        </w:tc>
        <w:tc>
          <w:tcPr>
            <w:tcW w:w="84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rPr>
              <w:t>—</w:t>
            </w:r>
          </w:p>
        </w:tc>
        <w:tc>
          <w:tcPr>
            <w:tcW w:w="90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31"/>
        </w:trPr>
        <w:tc>
          <w:tcPr>
            <w:tcW w:w="1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00137</w:t>
            </w:r>
          </w:p>
        </w:tc>
        <w:tc>
          <w:tcPr>
            <w:tcW w:w="9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0" w:type="dxa"/>
            <w:vAlign w:val="bottom"/>
            <w:tcBorders>
              <w:left w:val="single" w:sz="8" w:color="auto"/>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240" w:right="60" w:hanging="196"/>
        <w:spacing w:after="0" w:line="332" w:lineRule="auto"/>
        <w:tabs>
          <w:tab w:leader="none" w:pos="241" w:val="left"/>
        </w:tabs>
        <w:numPr>
          <w:ilvl w:val="1"/>
          <w:numId w:val="81"/>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40" w:hanging="196"/>
        <w:spacing w:after="0"/>
        <w:tabs>
          <w:tab w:leader="none" w:pos="2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86" w:lineRule="exact"/>
        <w:rPr>
          <w:rFonts w:ascii="Arial" w:cs="Arial" w:eastAsia="Arial" w:hAnsi="Arial"/>
          <w:sz w:val="13"/>
          <w:szCs w:val="13"/>
          <w:color w:val="auto"/>
        </w:rPr>
      </w:pPr>
    </w:p>
    <w:p>
      <w:pPr>
        <w:ind w:left="240" w:hanging="196"/>
        <w:spacing w:after="0"/>
        <w:tabs>
          <w:tab w:leader="none" w:pos="2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75" w:lineRule="exact"/>
        <w:rPr>
          <w:rFonts w:ascii="Arial" w:cs="Arial" w:eastAsia="Arial" w:hAnsi="Arial"/>
          <w:sz w:val="14"/>
          <w:szCs w:val="14"/>
          <w:color w:val="auto"/>
        </w:rPr>
      </w:pPr>
    </w:p>
    <w:p>
      <w:pPr>
        <w:ind w:left="200" w:hanging="195"/>
        <w:spacing w:after="0"/>
        <w:tabs>
          <w:tab w:leader="none" w:pos="2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lvl w:ilvl="1">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275AC794"/>
    <w:multiLevelType w:val="hybridMultilevel"/>
    <w:lvl w:ilvl="0">
      <w:lvlJc w:val="left"/>
      <w:lvlText w:val="•"/>
      <w:numFmt w:val="bullet"/>
      <w:start w:val="1"/>
    </w:lvl>
    <w:lvl w:ilvl="1">
      <w:lvlJc w:val="left"/>
      <w:lvlText w:val="◦"/>
      <w:numFmt w:val="bullet"/>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upperLetter"/>
      <w:start w:val="1"/>
    </w:lvl>
  </w:abstractNum>
  <w:abstractNum w:abstractNumId="41">
    <w:nsid w:val="61574095"/>
    <w:multiLevelType w:val="hybridMultilevel"/>
    <w:lvl w:ilvl="0">
      <w:lvlJc w:val="left"/>
      <w:lvlText w:val="(%1)"/>
      <w:numFmt w:val="decimal"/>
      <w:start w:val="3"/>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2"/>
    </w:lvl>
  </w:abstractNum>
  <w:abstractNum w:abstractNumId="44">
    <w:nsid w:val="579BE4F1"/>
    <w:multiLevelType w:val="hybridMultilevel"/>
    <w:lvl w:ilvl="0">
      <w:lvlJc w:val="left"/>
      <w:lvlText w:val="(%1)"/>
      <w:numFmt w:val="lowerLetter"/>
      <w:start w:val="1"/>
    </w:lvl>
  </w:abstractNum>
  <w:abstractNum w:abstractNumId="45">
    <w:nsid w:val="310C50B3"/>
    <w:multiLevelType w:val="hybridMultilevel"/>
    <w:lvl w:ilvl="0">
      <w:lvlJc w:val="left"/>
      <w:lvlText w:val="(%1)"/>
      <w:numFmt w:val="lowerLetter"/>
      <w:start w:val="4"/>
    </w:lvl>
  </w:abstractNum>
  <w:abstractNum w:abstractNumId="46">
    <w:nsid w:val="5FF87E05"/>
    <w:multiLevelType w:val="hybridMultilevel"/>
    <w:lvl w:ilvl="0">
      <w:lvlJc w:val="left"/>
      <w:lvlText w:val="%1."/>
      <w:numFmt w:val="decimal"/>
      <w:start w:val="3"/>
    </w:lvl>
  </w:abstractNum>
  <w:abstractNum w:abstractNumId="47">
    <w:nsid w:val="2F305DEF"/>
    <w:multiLevelType w:val="hybridMultilevel"/>
    <w:lvl w:ilvl="0">
      <w:lvlJc w:val="left"/>
      <w:lvlText w:val="(%1)"/>
      <w:numFmt w:val="lowerLetter"/>
      <w:start w:val="25"/>
    </w:lvl>
  </w:abstractNum>
  <w:abstractNum w:abstractNumId="48">
    <w:nsid w:val="25A70BF7"/>
    <w:multiLevelType w:val="hybridMultilevel"/>
    <w:lvl w:ilvl="0">
      <w:lvlJc w:val="left"/>
      <w:lvlText w:val="%1"/>
      <w:numFmt w:val="decimal"/>
      <w:start w:val="1"/>
    </w:lvl>
    <w:lvl w:ilvl="1">
      <w:lvlJc w:val="left"/>
      <w:lvlText w:val="(%2)"/>
      <w:numFmt w:val="lowerLetter"/>
      <w:start w:val="1"/>
    </w:lvl>
  </w:abstractNum>
  <w:abstractNum w:abstractNumId="49">
    <w:nsid w:val="1DBABF00"/>
    <w:multiLevelType w:val="hybridMultilevel"/>
    <w:lvl w:ilvl="0">
      <w:lvlJc w:val="left"/>
      <w:lvlText w:val="%1."/>
      <w:numFmt w:val="decimal"/>
      <w:start w:val="4"/>
    </w:lvl>
    <w:lvl w:ilvl="1">
      <w:lvlJc w:val="left"/>
      <w:lvlText w:val="%2"/>
      <w:numFmt w:val="lowerLetter"/>
      <w:start w:val="1"/>
    </w:lvl>
  </w:abstractNum>
  <w:abstractNum w:abstractNumId="50">
    <w:nsid w:val="4AD084E9"/>
    <w:multiLevelType w:val="hybridMultilevel"/>
    <w:lvl w:ilvl="0">
      <w:lvlJc w:val="left"/>
      <w:lvlText w:val="%1."/>
      <w:numFmt w:val="decimal"/>
      <w:start w:val="5"/>
    </w:lvl>
  </w:abstractNum>
  <w:abstractNum w:abstractNumId="51">
    <w:nsid w:val="1F48EAA1"/>
    <w:multiLevelType w:val="hybridMultilevel"/>
    <w:lvl w:ilvl="0">
      <w:lvlJc w:val="left"/>
      <w:lvlText w:val="(%1)"/>
      <w:numFmt w:val="lowerRoman"/>
      <w:start w:val="3"/>
    </w:lvl>
    <w:lvl w:ilvl="1">
      <w:lvlJc w:val="left"/>
      <w:lvlText w:val="%2."/>
      <w:numFmt w:val="decimal"/>
      <w:start w:val="6"/>
    </w:lvl>
  </w:abstractNum>
  <w:abstractNum w:abstractNumId="52">
    <w:nsid w:val="1381823A"/>
    <w:multiLevelType w:val="hybridMultilevel"/>
    <w:lvl w:ilvl="0">
      <w:lvlJc w:val="left"/>
      <w:lvlText w:val="%1."/>
      <w:numFmt w:val="decimal"/>
      <w:start w:val="7"/>
    </w:lvl>
  </w:abstractNum>
  <w:abstractNum w:abstractNumId="53">
    <w:nsid w:val="5DB70AE5"/>
    <w:multiLevelType w:val="hybridMultilevel"/>
    <w:lvl w:ilvl="0">
      <w:lvlJc w:val="left"/>
      <w:lvlText w:val="%1."/>
      <w:numFmt w:val="decimal"/>
      <w:start w:val="9"/>
    </w:lvl>
  </w:abstractNum>
  <w:abstractNum w:abstractNumId="54">
    <w:nsid w:val="100F8FCA"/>
    <w:multiLevelType w:val="hybridMultilevel"/>
    <w:lvl w:ilvl="0">
      <w:lvlJc w:val="left"/>
      <w:lvlText w:val="%1."/>
      <w:numFmt w:val="decimal"/>
      <w:start w:val="10"/>
    </w:lvl>
  </w:abstractNum>
  <w:abstractNum w:abstractNumId="55">
    <w:nsid w:val="6590700B"/>
    <w:multiLevelType w:val="hybridMultilevel"/>
    <w:lvl w:ilvl="0">
      <w:lvlJc w:val="left"/>
      <w:lvlText w:val="%1."/>
      <w:numFmt w:val="decimal"/>
      <w:start w:val="11"/>
    </w:lvl>
  </w:abstractNum>
  <w:abstractNum w:abstractNumId="56">
    <w:nsid w:val="15014ACB"/>
    <w:multiLevelType w:val="hybridMultilevel"/>
    <w:lvl w:ilvl="0">
      <w:lvlJc w:val="left"/>
      <w:lvlText w:val="(%1)"/>
      <w:numFmt w:val="lowerRoman"/>
      <w:start w:val="1"/>
    </w:lvl>
  </w:abstractNum>
  <w:abstractNum w:abstractNumId="57">
    <w:nsid w:val="5F5E7FD0"/>
    <w:multiLevelType w:val="hybridMultilevel"/>
    <w:lvl w:ilvl="0">
      <w:lvlJc w:val="left"/>
      <w:lvlText w:val="%1."/>
      <w:numFmt w:val="decimal"/>
      <w:start w:val="12"/>
    </w:lvl>
  </w:abstractNum>
  <w:abstractNum w:abstractNumId="58">
    <w:nsid w:val="98A3148"/>
    <w:multiLevelType w:val="hybridMultilevel"/>
    <w:lvl w:ilvl="0">
      <w:lvlJc w:val="left"/>
      <w:lvlText w:val="%1."/>
      <w:numFmt w:val="decimal"/>
      <w:start w:val="13"/>
    </w:lvl>
  </w:abstractNum>
  <w:abstractNum w:abstractNumId="59">
    <w:nsid w:val="799D0247"/>
    <w:multiLevelType w:val="hybridMultilevel"/>
    <w:lvl w:ilvl="0">
      <w:lvlJc w:val="left"/>
      <w:lvlText w:val="%1."/>
      <w:numFmt w:val="decimal"/>
      <w:start w:val="14"/>
    </w:lvl>
  </w:abstractNum>
  <w:abstractNum w:abstractNumId="60">
    <w:nsid w:val="6B94764"/>
    <w:multiLevelType w:val="hybridMultilevel"/>
    <w:lvl w:ilvl="0">
      <w:lvlJc w:val="left"/>
      <w:lvlText w:val="%1."/>
      <w:numFmt w:val="decimal"/>
      <w:start w:val="15"/>
    </w:lvl>
  </w:abstractNum>
  <w:abstractNum w:abstractNumId="61">
    <w:nsid w:val="42C296BD"/>
    <w:multiLevelType w:val="hybridMultilevel"/>
    <w:lvl w:ilvl="0">
      <w:lvlJc w:val="left"/>
      <w:lvlText w:val="%1."/>
      <w:numFmt w:val="decimal"/>
      <w:start w:val="16"/>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2"/>
    </w:lvl>
  </w:abstractNum>
  <w:abstractNum w:abstractNumId="64">
    <w:nsid w:val="661E3F1E"/>
    <w:multiLevelType w:val="hybridMultilevel"/>
    <w:lvl w:ilvl="0">
      <w:lvlJc w:val="left"/>
      <w:lvlText w:val="%1."/>
      <w:numFmt w:val="decimal"/>
      <w:start w:val="3"/>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upperLetter"/>
      <w:start w:val="1"/>
    </w:lvl>
  </w:abstractNum>
  <w:abstractNum w:abstractNumId="67">
    <w:nsid w:val="7BD3EE7B"/>
    <w:multiLevelType w:val="hybridMultilevel"/>
    <w:lvl w:ilvl="0">
      <w:lvlJc w:val="left"/>
      <w:lvlText w:val="%1."/>
      <w:numFmt w:val="upperLetter"/>
      <w:start w:val="1"/>
    </w:lvl>
  </w:abstractNum>
  <w:abstractNum w:abstractNumId="68">
    <w:nsid w:val="51D9C564"/>
    <w:multiLevelType w:val="hybridMultilevel"/>
    <w:lvl w:ilvl="0">
      <w:lvlJc w:val="left"/>
      <w:lvlText w:val="%1."/>
      <w:numFmt w:val="upperLetter"/>
      <w:start w:val="1"/>
    </w:lvl>
  </w:abstractNum>
  <w:abstractNum w:abstractNumId="69">
    <w:nsid w:val="613EFDC5"/>
    <w:multiLevelType w:val="hybridMultilevel"/>
    <w:lvl w:ilvl="0">
      <w:lvlJc w:val="left"/>
      <w:lvlText w:val="%1."/>
      <w:numFmt w:val="upperLetter"/>
      <w:start w:val="1"/>
    </w:lvl>
  </w:abstractNum>
  <w:abstractNum w:abstractNumId="70">
    <w:nsid w:val="BF72B14"/>
    <w:multiLevelType w:val="hybridMultilevel"/>
    <w:lvl w:ilvl="0">
      <w:lvlJc w:val="left"/>
      <w:lvlText w:val="(%1)"/>
      <w:numFmt w:val="lowerLetter"/>
      <w:start w:val="5"/>
    </w:lvl>
  </w:abstractNum>
  <w:abstractNum w:abstractNumId="71">
    <w:nsid w:val="11447B73"/>
    <w:multiLevelType w:val="hybridMultilevel"/>
    <w:lvl w:ilvl="0">
      <w:lvlJc w:val="left"/>
      <w:lvlText w:val="(%1)"/>
      <w:numFmt w:val="lowerLetter"/>
      <w:start w:val="3"/>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4"/>
    </w:lvl>
    <w:lvl w:ilvl="1">
      <w:lvlJc w:val="left"/>
      <w:lvlText w:val="%2."/>
      <w:numFmt w:val="lowerLetter"/>
      <w:start w:val="1"/>
    </w:lvl>
  </w:abstractNum>
  <w:abstractNum w:abstractNumId="74">
    <w:nsid w:val="8F2B15E"/>
    <w:multiLevelType w:val="hybridMultilevel"/>
    <w:lvl w:ilvl="0">
      <w:lvlJc w:val="left"/>
      <w:lvlText w:val="%1."/>
      <w:numFmt w:val="decimal"/>
      <w:start w:val="9"/>
    </w:lvl>
  </w:abstractNum>
  <w:abstractNum w:abstractNumId="75">
    <w:nsid w:val="1A32234B"/>
    <w:multiLevelType w:val="hybridMultilevel"/>
    <w:lvl w:ilvl="0">
      <w:lvlJc w:val="left"/>
      <w:lvlText w:val="%1."/>
      <w:numFmt w:val="decimal"/>
      <w:start w:val="6"/>
    </w:lvl>
  </w:abstractNum>
  <w:abstractNum w:abstractNumId="76">
    <w:nsid w:val="3B0FD379"/>
    <w:multiLevelType w:val="hybridMultilevel"/>
    <w:lvl w:ilvl="0">
      <w:lvlJc w:val="left"/>
      <w:lvlText w:val="%1."/>
      <w:numFmt w:val="decimal"/>
      <w:start w:val="1"/>
    </w:lvl>
    <w:lvl w:ilvl="1">
      <w:lvlJc w:val="left"/>
      <w:lvlText w:val="%2."/>
      <w:numFmt w:val="lowerLetter"/>
      <w:start w:val="1"/>
    </w:lvl>
  </w:abstractNum>
  <w:abstractNum w:abstractNumId="77">
    <w:nsid w:val="68EB2F63"/>
    <w:multiLevelType w:val="hybridMultilevel"/>
    <w:lvl w:ilvl="0">
      <w:lvlJc w:val="left"/>
      <w:lvlText w:val="%1."/>
      <w:numFmt w:val="decimal"/>
      <w:start w:val="1"/>
    </w:lvl>
    <w:lvl w:ilvl="1">
      <w:lvlJc w:val="left"/>
      <w:lvlText w:val="%2."/>
      <w:numFmt w:val="lowerLetter"/>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1"/>
    </w:lvl>
    <w:lvl w:ilvl="1">
      <w:lvlJc w:val="left"/>
      <w:lvlText w:val="(%2)"/>
      <w:numFmt w:val="decimal"/>
      <w:start w:val="1"/>
    </w:lvl>
  </w:abstractNum>
  <w:abstractNum w:abstractNumId="81">
    <w:nsid w:val="14330624"/>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40" Type="http://schemas.openxmlformats.org/officeDocument/2006/relationships/hyperlink" Target="http://www.sec.gov/Archives/edgar/data/866273/000086627316000233/proxystatementfiscal2016de.htm" TargetMode="External"/><Relationship Id="rId141" Type="http://schemas.openxmlformats.org/officeDocument/2006/relationships/hyperlink" Target="http://www.sec.gov/Archives/edgar/data/866273/000086627317000018/exhibit31secondamendedandr.htm" TargetMode="External"/><Relationship Id="rId142" Type="http://schemas.openxmlformats.org/officeDocument/2006/relationships/hyperlink" Target="http://www.sec.gov/Archives/edgar/data/866273/000086627319000094/exhibit42descriptionofthec.htm" TargetMode="External"/><Relationship Id="rId143" Type="http://schemas.openxmlformats.org/officeDocument/2006/relationships/hyperlink" Target="http://www.sec.gov/Archives/edgar/data/866273/000119312506191449/ddef14a.htm" TargetMode="External"/><Relationship Id="rId144" Type="http://schemas.openxmlformats.org/officeDocument/2006/relationships/hyperlink" Target="http://www.sec.gov/Archives/edgar/data/866273/000119312506202415/dex10.htm" TargetMode="External"/><Relationship Id="rId145" Type="http://schemas.openxmlformats.org/officeDocument/2006/relationships/hyperlink" Target="http://www.sec.gov/Archives/edgar/data/866273/000119312508166640/dex106.htm" TargetMode="External"/><Relationship Id="rId146" Type="http://schemas.openxmlformats.org/officeDocument/2006/relationships/hyperlink" Target="http://www.sec.gov/Archives/edgar/data/866273/000119312509190436/ddef14a.htm" TargetMode="External"/><Relationship Id="rId147" Type="http://schemas.openxmlformats.org/officeDocument/2006/relationships/hyperlink" Target="http://www.sec.gov/Archives/edgar/data/866273/000086627317000006/exhibit102-mtrxx2016x12x31.htm" TargetMode="External"/><Relationship Id="rId148" Type="http://schemas.openxmlformats.org/officeDocument/2006/relationships/hyperlink" Target="http://www.sec.gov/Archives/edgar/data/866273/000086627318000092/exhibit1011-mtrxx2018x06x3.htm" TargetMode="External"/><Relationship Id="rId149" Type="http://schemas.openxmlformats.org/officeDocument/2006/relationships/hyperlink" Target="http://www.sec.gov/Archives/edgar/data/866273/000086627318000095/proxystatementfiscal2018de.htm" TargetMode="External"/><Relationship Id="rId150" Type="http://schemas.openxmlformats.org/officeDocument/2006/relationships/hyperlink" Target="http://www.sec.gov/Archives/edgar/data/866273/000086627318000128/exhibit10-nonxemployeedire.htm" TargetMode="External"/><Relationship Id="rId151" Type="http://schemas.openxmlformats.org/officeDocument/2006/relationships/hyperlink" Target="http://www.sec.gov/Archives/edgar/data/866273/000086627320000109/exhibit1014.htm" TargetMode="External"/><Relationship Id="rId152" Type="http://schemas.openxmlformats.org/officeDocument/2006/relationships/hyperlink" Target="http://www.sec.gov/Archives/edgar/data/866273/000086627320000109/exhibit1015.htm" TargetMode="External"/><Relationship Id="rId153" Type="http://schemas.openxmlformats.org/officeDocument/2006/relationships/hyperlink" Target="http://www.sec.gov/Archives/edgar/data/866273/000086627316000248/exhibit10-formofamendedand.htm" TargetMode="External"/><Relationship Id="rId154" Type="http://schemas.openxmlformats.org/officeDocument/2006/relationships/hyperlink" Target="http://www.sec.gov/Archives/edgar/data/866273/000119312509003061/dex101.htm" TargetMode="External"/><Relationship Id="rId155" Type="http://schemas.openxmlformats.org/officeDocument/2006/relationships/hyperlink" Target="http://www.sec.gov/Archives/edgar/data/866273/000119312512462895/d411459dex10.htm" TargetMode="External"/><Relationship Id="rId156" Type="http://schemas.openxmlformats.org/officeDocument/2006/relationships/hyperlink" Target="http://www.sec.gov/Archives/edgar/data/866273/000114036120021431/nc10015074x1_def14a.htm" TargetMode="External"/><Relationship Id="rId157" Type="http://schemas.openxmlformats.org/officeDocument/2006/relationships/hyperlink" Target="http://www.sec.gov/Archives/edgar/data/866273/000086627321000088/exhibit1016-formoflongxter.htm" TargetMode="External"/><Relationship Id="rId158" Type="http://schemas.openxmlformats.org/officeDocument/2006/relationships/hyperlink" Target="http://www.sec.gov/Archives/edgar/data/866273/000086627321000088/exhibit1017-formofrestrict.htm" TargetMode="External"/><Relationship Id="rId159" Type="http://schemas.openxmlformats.org/officeDocument/2006/relationships/hyperlink" Target="http://www.sec.gov/Archives/edgar/data/866273/000086627319000117/exhibit10-indemnificat.htm" TargetMode="External"/><Relationship Id="rId160" Type="http://schemas.openxmlformats.org/officeDocument/2006/relationships/hyperlink" Target="http://www.sec.gov/Archives/edgar/data/866273/000086627321000088/exhibit1019-creditagreemen.htm" TargetMode="External"/><Relationship Id="rId161" Type="http://schemas.openxmlformats.org/officeDocument/2006/relationships/hyperlink" Target="http://www.sec.gov/Archives/edgar/data/866273/000086627322000021/exhibit10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2022-10-11T15:22:49Z</dcterms:created>
  <dcterms:modified xsi:type="dcterms:W3CDTF">2022-10-11T15:22:49Z</dcterms:modified>
</cp:coreProperties>
</file>