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449"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449"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April 29, 2016 there were 27,888,217 shares of the Company’s common stock, $0.01 par value per share, issued and 26,615,091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9"/>
          </w:tcPr>
          <w:p>
            <w:pPr>
              <w:jc w:val="center"/>
              <w:ind w:right="24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Nine Months Ended March 31, 2016 and 2015</w:t>
              </w:r>
            </w:hyperlink>
          </w:p>
        </w:tc>
        <w:tc>
          <w:tcPr>
            <w:tcW w:w="1380" w:type="dxa"/>
            <w:vAlign w:val="bottom"/>
            <w:gridSpan w:val="3"/>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for the Three and Nine Months Ended March 31, 2016 and 2015</w:t>
              </w:r>
            </w:hyperlink>
          </w:p>
        </w:tc>
        <w:tc>
          <w:tcPr>
            <w:tcW w:w="460" w:type="dxa"/>
            <w:vAlign w:val="bottom"/>
            <w:gridSpan w:val="2"/>
          </w:tcPr>
          <w:p>
            <w:pPr>
              <w:jc w:val="center"/>
              <w:ind w:left="29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2016 and June 30, 2015</w:t>
              </w:r>
            </w:hyperlink>
          </w:p>
        </w:tc>
        <w:tc>
          <w:tcPr>
            <w:tcW w:w="33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1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Nine Months Ended March 31, 2016 and 2015</w:t>
              </w:r>
            </w:hyperlink>
          </w:p>
        </w:tc>
        <w:tc>
          <w:tcPr>
            <w:tcW w:w="1840" w:type="dxa"/>
            <w:vAlign w:val="bottom"/>
            <w:gridSpan w:val="4"/>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60" w:type="dxa"/>
            <w:vAlign w:val="bottom"/>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Nine Months Ended March 31, 2016 and 2015</w:t>
              </w:r>
            </w:hyperlink>
          </w:p>
        </w:tc>
        <w:tc>
          <w:tcPr>
            <w:tcW w:w="32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16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2"/>
          </w:tcPr>
          <w:p>
            <w:pPr>
              <w:jc w:val="center"/>
              <w:ind w:left="19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Legal Proceedings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60" w:type="dxa"/>
            <w:vAlign w:val="bottom"/>
            <w:gridSpan w:val="10"/>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0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978,718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282,119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311,523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860,390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931,752</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20,956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65,509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56,538</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6,241</w:t>
            </w: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27,175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16,403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(13,118)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(5,996)</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Comprehensive loss attributable to noncontrolling interest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(19,359)</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Matrix Service Company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18,668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245</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2016— $6,246 and June 30, 2015—$561)</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170,713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199,149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86,071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2,773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5,660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373,471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89,046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87,561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47,468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28,874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214,872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201,845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87,345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85,063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23,961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3,947</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549,642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561,689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96,704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8,100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6,498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277,135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 31, 2016,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2015; 26,606,490 and 26,440,823 shares outstanding as of March 31, 2016 and June 30, 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125,655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123,038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194,394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311,785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2"/>
              </w:rPr>
              <w:t>Less: Treasury stock, at cost— 1,281,727 shares as of March 31, 2016, and 1,447,394 shares as of June 30, 2015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(18,489)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309,872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284,554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549,642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561,689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(13,118)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17,332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4,730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17,353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(23,025)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31,006</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6,932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 (Note 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(15,973)</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under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acquired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79,239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77,115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103,183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380"/>
              <w:spacing w:after="0"/>
              <w:rPr>
                <w:sz w:val="20"/>
                <w:szCs w:val="20"/>
                <w:color w:val="auto"/>
              </w:rPr>
            </w:pPr>
            <w:r>
              <w:rPr>
                <w:rFonts w:ascii="Arial" w:cs="Arial" w:eastAsia="Arial" w:hAnsi="Arial"/>
                <w:sz w:val="18"/>
                <w:szCs w:val="18"/>
                <w:color w:val="auto"/>
              </w:rPr>
              <w:t>Acquisition of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284,554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(62,137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3,222</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(623,443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Plan (13,003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Open market purchases of treasury shares (330,000</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(202,916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March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125,655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214,123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(22,022)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309,872</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119,777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177,237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282,283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(13,118)</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(55,200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1,764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(318,763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Plan (8,601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(102,450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March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121,462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183,478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(13,550)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275,701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2015, included in the Company’s Annual Report on Form 10-K for the year then ended. The results of operations for the nine month period ended March 31, 2016 may not necessarily be indicative of the results of operations for the full year ending June 30,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on July 1,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Income Taxes (Topic 740): Balance Sheet Classification of Deferred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20, 2015, the FASB issued ASU 2015-17, which will require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has elected to retrospectively early adopt ASU 2015-17, effective for the quarter ended December 31, 2015. The quantitative effects of the change on the prior balance sheet presented, 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expect to adopt this standard on July 1, 2019 and are currently evaluating its expected impact on our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is currently evaluating whether it will early adopt the ASU. The following is a description of the key provisions of the ASU, its transition requirements and its estimated impacts on the Company's financial statements: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Accounting for Income Taxes</w:t>
      </w:r>
      <w:r>
        <w:rPr>
          <w:rFonts w:ascii="Arial" w:cs="Arial" w:eastAsia="Arial" w:hAnsi="Arial"/>
          <w:sz w:val="18"/>
          <w:szCs w:val="18"/>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Currently, the Company recognizes any excess tax benefits in additional paid-in capital ("APIC") in the balance sheet and any tax deficiencies are recognized as a reduction of APIC to the extent the Company has accumulated excess tax benefits. Any tax deficiencies in excess of accumulated excess tax benefits in APIC are recognized in the provision for income taxes. The amendments also require the Company to only present excess tax benefits and tax deficiencies in the operating section of its statements of cash flows. Currently, the Company is required to present such items in both the financing section and operating section of its statements of cash flows. Amendments to the presentation of excess tax benefits and tax deficiencies in the statements of cash flows may be applied retrospectively or prospectively. The Company has not yet determined how it will apply these amendments.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Amendments requiring the recognition of excess tax benefits and tax deficiencies in income are to be applied prospectively. The Company cannot reasonably estimate the future impacts of these amendments to its financial statements since such impacts are primarily dependent on the Company's stock price on the dates of future vestings or exercises. The Company's stock price may vary significantly over time and such variability may result in material income tax impacts to income upon future vestings and exercises.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required to apply the amendments for accumulated excess tax benefits on a modified retrospective basis as a cumulative-effect adjustment to retained earnings as of the date of adoption. The balance of accumulated excess tax benefits included in APIC was $9.8 million as of March 31, 2016.</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Accounting for Forfeitures</w:t>
      </w:r>
      <w:r>
        <w:rPr>
          <w:rFonts w:ascii="Arial" w:cs="Arial" w:eastAsia="Arial" w:hAnsi="Arial"/>
          <w:sz w:val="17"/>
          <w:szCs w:val="17"/>
          <w:color w:val="auto"/>
        </w:rPr>
        <w:t>: The Company currently recognizes expense on all stock-based awards over the requisite service period, net of estimated forfeitures. The amendments in this ASU allow the Company to elect, as a company-wide accounting policy, either to continue to estimate the amount of forfeitures to exclude from compensation expense or to exclude forfeitures from compensation expense when they occur. If the Company elects to account for forfeitures when they occur, it will apply the accounting change on a modified retrospective basis as a cumulative-effect adjustment to retained earnings as of the date of adoption. The Company does not expect these amendments to have a material impact to its financial statements if it does elect to account for forfeitures when they occur. The Company has not yet determined how it will account for forfeitures upon adoption of the ASU.</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Statutory Tax Withholding Requirements</w:t>
      </w:r>
      <w:r>
        <w:rPr>
          <w:rFonts w:ascii="Arial" w:cs="Arial" w:eastAsia="Arial" w:hAnsi="Arial"/>
          <w:sz w:val="18"/>
          <w:szCs w:val="18"/>
          <w:color w:val="auto"/>
        </w:rPr>
        <w:t>: Currently, an entire award must be classified as a liability if the fair value of the shares withheld exceeds the Company's minimum statutory withholding obligation. Under the ASU, the Company will be allowed to withhold shares with a fair value up to the amount of tax owed using the maximum statutory tax rate in the employee's applicable jurisdictions. The Company will be allowed to determine one maximum rate for all employees in each jurisdiction, rather than a rate for each employee in the jurisdiction. Also, the ASU requires that cash outflows to reacquire shares withheld for taxes to be classified in the financing section of its statements of cash flows. Since the Company does not have any awards classified as liabilities due to statutory tax withholding requirements as of March 31, 2016, and since the Company already presents its cash outflows for reacquiring shares withheld for taxes as a financing activity in its statements of cash flows, the Company does not expect these amendments to have any impact on its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advances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purchase price allocation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of the recorded goodwill from the HDB acquisition is tax deductible. The operating data related to this acquisition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Baillie Tank Equipment, Ltd.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net purchase price allocation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54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5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5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6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390"/>
              <w:spacing w:after="0"/>
              <w:rPr>
                <w:sz w:val="20"/>
                <w:szCs w:val="20"/>
                <w:color w:val="auto"/>
              </w:rPr>
            </w:pPr>
            <w:r>
              <w:rPr>
                <w:rFonts w:ascii="Arial" w:cs="Arial" w:eastAsia="Arial" w:hAnsi="Arial"/>
                <w:sz w:val="18"/>
                <w:szCs w:val="18"/>
                <w:color w:val="auto"/>
              </w:rPr>
              <w:t>- 11-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recognized from the acquisition is attributable to the synergies of combining our operations and the technical expertise of the acquired workforce. None of the goodwill recognized is expected to be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$0.8 million and $0.9 million of expenses related to the acquisition for the three and nine months ended March 31, 2016, which are included within selling, general and administrative expenses in the consolidated statements of income. The acquired business contributed revenues of $3.5 million and operating income of $0.7 million for the period from February 1, 2016 to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1,759,416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1,733,579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1,644,413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92,646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66,809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96,704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Progress billings in accounts receivable at March 31, 2016 and June 30, 2015 included retentions to be collected within one year of $24.4 million and $25.2 million, respectively. Contract retentions collectible beyond one year are included in other assets in the condensed consolidated balance sheet and totaled $5.6 million at March 31, 2016 and $2.8 million at June 30,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three and nine months ended March 31, 2015 our results of operations were materially impacted by charges resulting from a change in estimate related to an acquired EPC joint venture project in the Electrical Infrastructure segment. The charges resulted in a reduction to operating income of $28.5 million and $54.7 million and an after-tax reduction of $9.7 million and $18.7 million to net income attributable to Matrix Service Company, respectively. The Company recorded additional charges on this project during the three and nine months ended March 31, 2016, which resulted in a reduction to operating income of $1.6 million and $7.1 million and an after-tax reduction to net income attributable to Matrix Service Company of $0.5 million and $2.5 million, respectively.</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fiscal 2016 project charges are attributable to higher than expected project closeout costs. The Company reached substantial completion on the project in the fourth quarter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of BTE (Note 2)</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 (2)</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March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42,134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17,276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78,845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w:t>
      </w:r>
    </w:p>
    <w:p>
      <w:pPr>
        <w:spacing w:after="0" w:line="23" w:lineRule="exact"/>
        <w:rPr>
          <w:rFonts w:ascii="Arial" w:cs="Arial" w:eastAsia="Arial" w:hAnsi="Arial"/>
          <w:sz w:val="18"/>
          <w:szCs w:val="18"/>
          <w:color w:val="auto"/>
        </w:rPr>
      </w:pPr>
    </w:p>
    <w:p>
      <w:pPr>
        <w:ind w:left="540" w:right="220" w:hanging="316"/>
        <w:spacing w:after="0" w:line="290"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At March 31, 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0.3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At June 30, 2015</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gross carrying amount of other intangible assets at March 31, 2016 compared to June 30, 2015 is due primarily to the February 1, 2016 acquisition of BTE (Note 2). The BTE intangible assets consist of the following amortizing assets:</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customer-based intangibles with a fair value of $0.5 million and useful life of between 4 months and 10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intangibles with a fair value of $0.1 million and useful life of 10 years;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non-compete agreement intangibles with a fair value of $0.1 million and useful life of 4 years.</w:t>
      </w:r>
    </w:p>
    <w:p>
      <w:pPr>
        <w:spacing w:after="0" w:line="252" w:lineRule="exact"/>
        <w:rPr>
          <w:rFonts w:ascii="Arial" w:cs="Arial" w:eastAsia="Arial" w:hAnsi="Arial"/>
          <w:sz w:val="18"/>
          <w:szCs w:val="18"/>
          <w:color w:val="auto"/>
        </w:rPr>
      </w:pPr>
    </w:p>
    <w:p>
      <w:pPr>
        <w:ind w:left="5640" w:hanging="98"/>
        <w:spacing w:after="0"/>
        <w:tabs>
          <w:tab w:leader="none" w:pos="5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$2.6 million in the nine months ended March 31, 2016 and $3.7 million in the nine months ended March 31, 2015. We estimate that the remaining amortization expense at March 31, 2016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Remainder of Fiscal 2016</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937</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2,577</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7,028</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remaining amortization expense at March 31, 2016</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21,936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March 31, 2016, Consolidated EBITDA, as defined in the Credit Agreement, was $76.4 million. Accordingly, at March 31, 2016, there was a restriction on our ability to access the full amount of the credit facility. Consolidated Funded Indebtedness at March 31, 2016 was $16.8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8,804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166,530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borrowings at March 31, 2016 under our Credit Agreement were used for Canadian dollar advances required for short term working capital, including cross-border purchases of materials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acquired $1.9 million of long-term debt as part of the BTE acquisition, which was subsequently repaid in March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months ended March 31, 2016 was 41.4% compared to 10.4% in the same period a year earlier. Our effective tax rate for the nine months ended March 31, 2016 was 35.6% compared to (33.2)% in the same period a year earlier. Our effective tax rates for the three and nine months ended March 31, 2016 and 2015 were impacted in part by the acquired EPC joint venture project charges in which the Company has a 65% interest and does not receive a tax benefit. The Company recorded discrete expenses of $0.1 million during the three months ended March 31, 2016 and recorded $1.3 million of discrete benefits during the nine months ended March 31, 2016. The discrete benefits primarily relate to the retroactive application of the R&amp;D tax credit and other tax credits.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stated in Note 1, the Company has elected to retrospectively early adopt ASU 2015-17, effective for the quarter ended December 31, 2015. The quantitative effects of the change on the prior balance sheet presented, for the fiscal year ended June 30, 2015, resulted in a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$11.1 million at March 31, 2016 and $12.7 million at June 30, 2015.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181"/>
        </w:trPr>
        <w:tc>
          <w:tcPr>
            <w:tcW w:w="4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center"/>
              <w:ind w:right="340"/>
              <w:spacing w:after="0"/>
              <w:rPr>
                <w:sz w:val="20"/>
                <w:szCs w:val="20"/>
                <w:color w:val="auto"/>
              </w:rPr>
            </w:pPr>
            <w:r>
              <w:rPr>
                <w:rFonts w:ascii="Arial" w:cs="Arial" w:eastAsia="Arial" w:hAnsi="Arial"/>
                <w:sz w:val="13"/>
                <w:szCs w:val="13"/>
                <w:color w:val="auto"/>
                <w:w w:val="86"/>
              </w:rPr>
              <w:t>(In thousands, except per share data)</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8"/>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304"/>
        </w:trPr>
        <w:tc>
          <w:tcPr>
            <w:tcW w:w="4880" w:type="dxa"/>
            <w:vAlign w:val="bottom"/>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19,729</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6,241</w:t>
            </w:r>
          </w:p>
        </w:tc>
      </w:tr>
      <w:tr>
        <w:trPr>
          <w:trHeight w:val="251"/>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26,758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26,593</w:t>
            </w:r>
          </w:p>
        </w:tc>
      </w:tr>
      <w:tr>
        <w:trPr>
          <w:trHeight w:val="20"/>
        </w:trPr>
        <w:tc>
          <w:tcPr>
            <w:tcW w:w="4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4880" w:type="dxa"/>
            <w:vAlign w:val="bottom"/>
          </w:tcPr>
          <w:p>
            <w:pPr>
              <w:ind w:left="40"/>
              <w:spacing w:after="0"/>
              <w:rPr>
                <w:sz w:val="20"/>
                <w:szCs w:val="20"/>
                <w:color w:val="auto"/>
              </w:rPr>
            </w:pPr>
            <w:r>
              <w:rPr>
                <w:rFonts w:ascii="Arial" w:cs="Arial" w:eastAsia="Arial" w:hAnsi="Arial"/>
                <w:sz w:val="18"/>
                <w:szCs w:val="18"/>
                <w:color w:val="auto"/>
              </w:rPr>
              <w:t>Basic earnings (loss) per share</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0.23</w:t>
            </w:r>
          </w:p>
        </w:tc>
      </w:tr>
      <w:tr>
        <w:trPr>
          <w:trHeight w:val="237"/>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26,758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26,711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26,593</w:t>
            </w:r>
          </w:p>
        </w:tc>
      </w:tr>
      <w:tr>
        <w:trPr>
          <w:trHeight w:val="27"/>
        </w:trPr>
        <w:tc>
          <w:tcPr>
            <w:tcW w:w="4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465</w:t>
            </w:r>
          </w:p>
        </w:tc>
      </w:tr>
      <w:tr>
        <w:trPr>
          <w:trHeight w:val="27"/>
        </w:trPr>
        <w:tc>
          <w:tcPr>
            <w:tcW w:w="48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27,054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27,191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27,175</w:t>
            </w:r>
          </w:p>
        </w:tc>
      </w:tr>
      <w:tr>
        <w:trPr>
          <w:trHeight w:val="20"/>
        </w:trPr>
        <w:tc>
          <w:tcPr>
            <w:tcW w:w="4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488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7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0.23</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8580" w:type="dxa"/>
            <w:vAlign w:val="bottom"/>
            <w:gridSpan w:val="8"/>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4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196"/>
        </w:trPr>
        <w:tc>
          <w:tcPr>
            <w:tcW w:w="4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6"/>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w:t>
            </w:r>
          </w:p>
        </w:tc>
      </w:tr>
      <w:tr>
        <w:trPr>
          <w:trHeight w:val="459"/>
        </w:trPr>
        <w:tc>
          <w:tcPr>
            <w:tcW w:w="48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thermal vacuum chambers, as well as work for clients in other industrial markets.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2015.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14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94,414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48,228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251,437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162,434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400,074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370,977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224,173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310,172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318,321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956,568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985,814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94,414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48,228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251,437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162,434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132,629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399,034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370,259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221,451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309,422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314,155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952,282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978,718</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39,996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26,947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27,303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91,892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46,966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18,785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 (loss)</w:t>
            </w:r>
          </w:p>
        </w:tc>
        <w:tc>
          <w:tcPr>
            <w:tcW w:w="13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26,383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99,007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108,960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102,761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47,386</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549,642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561,689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- 18-</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2015 Annual Report on Form 10-K filed with the SEC. For more information on our critical accounting policies, see Part II, Item 7 of our fiscal 2015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five significant reporting units, and, prior to the additional goodwill recognized on the BTE acquisition, these reporting units represented 59%, 12%, 9%, 8% and 6% of the total goodwill balance. All of the goodwill attributable to BTE is included in the reporting unit that comprised 8% of the total goodwill balance prior to the BTE acquisition. Our most recent annual goodwill impairment test, performed in the fourth quarter of fiscal 2015, indicated that the fair value of these reporting units exceeded their respective carrying values by 347%, 142%, 134%, 586% and 144%, respectively. The goodwill recognized from the BTE acquisition is attributable to the reporting unit with the fair value that exceeded 586% of its carrying value. The remaining 6% of total goodwill is spread between two other reporting units. The Company has considered the current economic environment and concluded that no impairment indicators existed at March 31, 2016. The Company will continue to closely monitor economic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0.3 to 15 years. The Company evaluates intangible assets with finite lives for impairment whenever events or circumstances indicate that the carrying value may not be recoverable. The Company did not observe any events or circumstances during the nine months ended March 31, 2016 that would indicate that the carrying value of its intangible assets may not be recoverable. The Company's evaluation included values assigned to customer relationships in the iron and steel industry which is currently experiencing short to medium term weakness. If the Company's view of this market adversely changes or if other factors develop which change our view of the value of these relationships, the Company will reevaluate this conclusion.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$11.1 million at March 31, 2016 and $12.7 million at June 30, 2015. The amounts ultimately realized may be significantly different than the recorded amounts resulting in a material adjustment to future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on July 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2015-17, Income Taxes (Topic 740): Balance Sheet Classification of Deferred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20, 2015, the FASB issued ASU 2015-17, which will require entities to present deferred tax assets ("DTAs") and deferred tax liabilities ("DTLs") as noncurrent in a classified balance sheet. The ASU simplifies the current guidance, which requires entities to separately present DTAs and DTLs as current and noncurrent in a classified balance sheet based on the classification of the related asset or liability. For public business entities, the ASU will be effective for annual periods beginning after December 15, 2016, and interim periods within those years with early adoption permitted. The Company has elected to retrospectively early adopt ASU 2015-17, effective for the quarter ended December 31, 2015. The quantitative effects of the change on the prior balance sheet presented, for the fiscal year ended June 30, 2015, resulted in a net reclassification of $6.6 million and $6.6 million from the "Deferred income taxes" current asset and liability financial statement line items, respectively, to the "Deferred income taxes" asset and liability financial statement line items included in the noncurrent asset and liability sections of the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expect to adopt this standard on July 1, 2019 and are currently evaluating its expected impact on our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is currently evaluating whether it will early adopt the ASU. The following is a description of the key provisions of the ASU, its transition requirements and its estimated impacts on the Company's financial statements: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Accounting for Income Taxes</w:t>
      </w:r>
      <w:r>
        <w:rPr>
          <w:rFonts w:ascii="Arial" w:cs="Arial" w:eastAsia="Arial" w:hAnsi="Arial"/>
          <w:sz w:val="18"/>
          <w:szCs w:val="18"/>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Currently, the Company recognizes any excess tax benefits in additional paid-in capital ("APIC") in the balance sheet and any tax deficiencies are recognized as a reduction of APIC to the extent the Company has accumulated excess tax benefits. Any tax deficiencies in excess of accumulated excess tax benefits in APIC are recognized in the provision for income taxes. The amendments also require the Company to only present excess tax benefits and tax deficiencies in the operating section of its statements of cash flows. Currently, the Company is required to present such items in both the financing section and operating section of its statements of cash flows. Amendments to the presentation of excess tax benefits and tax deficiencies in the statements of cash flows may be applied retrospectively or prospectively. The Company has not yet determined how it will apply these amendments.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Amendments requiring the recognition of excess tax benefits and tax deficiencies in income are to be applied prospectively. The Company cannot reasonably estimate the future impacts of these amendments to its financial statements since such impacts are primarily dependent on the Company's stock price on the dates of future vestings or exercises. The Company's stock price may vary significantly over time and such variability may result in material income tax impacts to income upon future vestings and exercises.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required to apply the amendments for accumulated excess tax benefits on a modified retrospective basis as a cumulative-effect adjustment to retained earnings as of the date of adoption. The balance of accumulated excess tax benefits included in APIC was $9.8 million as of March 31, 2016.</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Accounting for Forfeitures</w:t>
      </w:r>
      <w:r>
        <w:rPr>
          <w:rFonts w:ascii="Arial" w:cs="Arial" w:eastAsia="Arial" w:hAnsi="Arial"/>
          <w:sz w:val="17"/>
          <w:szCs w:val="17"/>
          <w:color w:val="auto"/>
        </w:rPr>
        <w:t>: The Company currently recognizes expense on all stock-based awards over the requisite service period, net of estimated forfeitures. The amendments in this ASU allow the Company to elect, as a company-wide accounting policy, either to continue to estimate the amount of forfeitures to exclude from compensation expense or to exclude forfeitures from compensation expense when they occur. If the Company elects to account for forfeitures when they occur, it will apply the accounting change on a modified retrospective basis as a cumulative-effect adjustment to retained earnings as of the date of adoption. The Company does not expect these amendments to have a material impact to its financial statements if it does elect to account for forfeitures when they occur. The Company has not yet determined how it will account for forfeitures upon adoption of the ASU.</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Statutory Tax Withholding Requirements</w:t>
      </w:r>
      <w:r>
        <w:rPr>
          <w:rFonts w:ascii="Arial" w:cs="Arial" w:eastAsia="Arial" w:hAnsi="Arial"/>
          <w:sz w:val="18"/>
          <w:szCs w:val="18"/>
          <w:color w:val="auto"/>
        </w:rPr>
        <w:t>: Currently, an entire award must be classified as a liability if the fair value of the shares withheld exceeds the Company's minimum statutory withholding obligation. Under the ASU, the Company will be allowed to withhold shares with a fair value up to the amount of tax owed using the maximum statutory tax rate in the employee's applicable jurisdictions. The Company will be allowed to determine one maximum rate for all employees in each jurisdiction, rather than a rate for each employee in the jurisdiction. Also, the ASU requires that cash outflows to reacquire shares withheld for taxes to be classified in the financing section of its statements of cash flows. Since the Company does not have any awards classified as liabilities due to statutory tax withholding requirements as of March 31, 2016, and since the Company already presents its cash outflows for reacquiring shares withheld for taxes as a financing activity in its statements of cash flows, the Company does not expect these amendments to have any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thermal vacuum chambers, as well as work for clients in other industrial markets.</w:t>
      </w:r>
    </w:p>
    <w:p>
      <w:pPr>
        <w:spacing w:after="0" w:line="112" w:lineRule="exact"/>
        <w:rPr>
          <w:sz w:val="20"/>
          <w:szCs w:val="20"/>
          <w:color w:val="auto"/>
        </w:rPr>
      </w:pPr>
    </w:p>
    <w:p>
      <w:pPr>
        <w:ind w:right="4220" w:firstLine="54"/>
        <w:spacing w:after="0" w:line="440" w:lineRule="auto"/>
        <w:rPr>
          <w:sz w:val="20"/>
          <w:szCs w:val="20"/>
          <w:color w:val="auto"/>
        </w:rPr>
      </w:pPr>
      <w:r>
        <w:rPr>
          <w:rFonts w:ascii="Arial" w:cs="Arial" w:eastAsia="Arial" w:hAnsi="Arial"/>
          <w:sz w:val="18"/>
          <w:szCs w:val="18"/>
          <w:b w:val="1"/>
          <w:bCs w:val="1"/>
          <w:color w:val="auto"/>
        </w:rPr>
        <w:t xml:space="preserve">Three Months Ended March 31, 2016 Compared to the Three Months Ended March 31, 2015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$309.4 million for the three months ended March 31, 2016, compared to $314.2 million in the same period in the prior fiscal year. On a segment basis, consolidated revenue increased in the Electrical Infrastructure and Storage Solutions segments by $46.2 million and $25.4 million, respectively. This increase was offset by decreased revenue in the Oil Gas &amp; Chemical and Industrial segments of $40.1 million and $36.3 million,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gross profit increased from $2.6 million in the three months ended March 31, 2015 to $27.3 million in the three months ended March 31, 2016. Fiscal 2015 gross profit was reduced due to a $28.5 million charge on an acquired EPC joint venture project which decreased fiscal 2015 gross margin by 8.9% to 0.8%. This charge is discussed in Note 3- Uncompleted Contracts. The fiscal 2016 gross margin was 8.8%.</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$21.0 million in the three months ended March 31, 2016 compared to $17.1 million in the same period a year earlier. The increase in SG&amp;A in fiscal 2016 is attributable to higher incentive compensation expense recognized as a result of improved profitability, severance payments, and acquisition costs of $0.8 million described in Note 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March 31, 2016 and $0.3 million in the three months ended March 31,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months ended March 31, 2016 was 41.4% compared to 10.4% in the same period a year earlier. Our effective tax rates for fiscal 2016 and 2015 were impacted, in part, by the acquired EPC joint venture project charges in which the Company has a 65% interest and does not receive a tax benefit. The fiscal 2015 effective tax rate included a tax benefit of $1.1 million as the result of an increase in the R&amp;D tax credit. We expect our annual effective tax rate for operations attributable only to Matrix Service Company to be 36.5%.</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2016, net income attributable to Matrix Service Company and the related fully diluted earnings per share were $4.4 million and $0.16 compared to a net loss attributable to Matrix Service Company of $3.0 million and fully diluted loss per share of $0.11 in the same period a year earlier.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Electrical Infrastructure segment increased $46.2 million to $94.4 million in the three months ended March 31, 2016 compared to $48.2 million in the same period a year earlier as a result of volume increases in both power delivery and power generation. The Company recorded a project charge $28.5 million on the acquired EPC joint venture project in fiscal 2015 which reduced gross margin by 57.7% to (46.5%). The charge is discussed in Note 3-Uncompleted Contracts. Fiscal 2016 gross margin was 11.0%.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$55.7 million in the three months ended March 31, 2016 compared to $95.8 million in the same period a year earlier. The decrease of $40.1 million is largely related to a significant turnaround in fiscal 2015 and lower levels of capital work in fiscal 2016. Gross margins were 4.7% for the three months ended March 31, 2016 compared to 7.6% in the same period last year. Gross margins for fiscal 2016 were affected by lower volume, which led to the under recovery of overhead costs, and a project charge in our upstream business. Fiscal 2015 margins were impacted by lower than expected profitability on a significant turnaround.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$132.6 million in the three months ended March 31, 2016 compared to $107.2 million in the same period a year earlier, an increase of 23.7%. The increase is primarily attributable to increased activity on a previously announced project for the construction of crude gathering terminals feeding the Dakota Access Pipeline, partially offset by lower revenue volume in our Canadian operations. Gross margins improved from 10.5% in the three months ended March 31, 2015 to 11.4% in the three months ended March 31, 2016. The improvement in gross margins in fiscal 2016 was due to strong project execution and the improved absorption of overhead costs due to higher revenue volume.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decreased $36.3 million to $26.7 million in the three months ended March 31, 2016 compared to $63.0 million in the same period a year earlier. The decline in revenue is primarily attributable to lower business volumes in the iron and steel and mining markets, and lower revenue recognized on a large fertilizer project that is nearing completion. Gross margins were (3.1%) in the three months ended March 31, 2016 compared to 10.4% in the same period a year earlier. Fiscal 2016 margins were negatively impacted by a forecasted unfavorable customer settlement and lower margins on iron and steel work due to lower volume.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2016 Compared to the Nine Months Ended March 31, 2015</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$952.3 million for the nine months ended March 31, 2016, a decrease of $26.4 million, or 2.7%, from $978.7 million in the same period in the prior fiscal year. On a segment basis, consolidated revenue increased in the Electrical Infrastructure and Storage Solutions segments by $89.0 million and $28.8 million, respectively, offset by lower revenue in the Industrial and Oil Gas &amp; Chemical segments of $105.2 million and $39.0 million, respectively.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was $91.9 million in the nine months ended March 31, 2016 compared to $47.0 million in the nine months ended March 31, 2015. The Company recorded project charges of $7.1 million and $54.7 million on the acquired EPC joint venture project in fiscal 2016 and fiscal 2015, respectively. The charges, which are discussed in Note 3- Uncompleted Contracts, reduced fiscal 2016 gross margins by 0.9% to 9.6% and reduced fiscal 2015 gross margins by 5.8% to 4.8%.</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SG&amp;A expenses were $65.5 million in the nine months ended March 31, 2016 compared to $56.5 million in the same period a year earlier. The increase in fiscal 2016 is primarily related to a bad debt charge of $5.2 million from an unexpected client bankruptcy, increased incentive expense related to higher profitability over the prior fiscal year, severance payments, and $0.9 million of costs related to the acquisition described in Note 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$0.6 million in each of the nine months ended March 31, 2016 and 2015.</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for the nine months ended March 31, 2016 was 35.6% compared to (33.2)% in the same period a year earlier. Our effective tax rate for fiscal 2016 and 2015 was impacted, in part, by the acquired EPC joint venture project charges in which the Company has a 65% interest and does not receive a tax benefit. The fiscal 2016 and 2015 effective tax rates included tax benefits of $1.7 million and $1.1 million, respectively, as a result of increases in the R&amp;D tax credit. We expect our annual effective tax rate for operations attributable only to Matrix Service Company to be 36.5%.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March 31, 2016, net income attributable to Matrix Service Company and the related fully diluted earnings per share were $19.7 million and $0.73 compared to $6.2 million and $0.23 in the same period a year earlier.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increased $89.0 million to $251.4 million in the nine months ended March 31, 2016 compared to $162.4 million in the same period a year earlier. The increased revenue was primarily due to volume increases in both power delivery and power generation. The Company recorded project charges of $7.1 million and $54.7 million on the acquired EPC joint venture project in fiscal 2016 and fiscal 2015. The charges, which are discussed in Note 3- Uncompleted Contracts, reduced fiscal 2016 gross margins by 3.2% to 7.6% and reduced fiscal 2015 gross margins for this segment by 35.1% to (24.0%).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$185.6 million in the nine months ended March 31, 2016 compared to $224.6 million in the same period a year earlier. The decrease of $39.0 million is largely related to a significant turnaround in fiscal 2015 and lower levels of capital work in fiscal 2016. Gross margins were 7.7% in the nine months ended March 31, 2016 compared to 8.5% a year earlier. Gross margins for fiscal 2016 were affected by lower volume, which lead to the under recovery of overhead costs, and a project charge in our upstream business. Fiscal 2015 margins were impacted by lower than expected profitability on a significant turnaround.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Storage Solutions segment increased to $399.1 million in the nine months ended March 31, 2016 compared to $370.3 million in the same period a year earlier. The increase of $28.8 million is primarily attributable to a previously announced project for the construction of crude gathering terminals feeding the Dakota Access Pipeline, partially offset by lower revenue volume in our Canadian operations. Gross margins were 12.5% for the nine months ended March 31, 2016 compared to 10.8% in the same period a year earlier. Fiscal 2016 margins were positively impacted by the improved recovery of construction overhead costs along with strong project execution.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for the Industrial segment decreased $105.2 million to $116.2 million in the nine months ended March 31, 2016 compared to $221.4 million in the same period a year earlier. The decline in revenue is primarily attributable to lower business volumes in the iron and steel and mining markets, and lower revenue recognized on a large fertilizer project that is nearing completion. Gross margins were 7.5% in the nine months ended March 31, 2016 compared to 12.2% in the same period a year earlier. Fiscal 2016 margins were positively impacted by strong project execution partially offset by a forecasted unfavorable customer settlement recognized in the third quarter of fiscal 2016 and lower margins on iron and steel work due to lower volume. Fiscal 2015 gross margins were high primarily due to profit recognized on favorable project completions and a favorable settlement with a customer.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426,782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116,311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506,059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67,882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1,117,034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51,561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40,465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109,437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224,861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(309,422)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March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383,929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101,047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482,867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64,630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1,032,473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2016:</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493,973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132,985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670,493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1,420,598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141,393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153,642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233,421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69,320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597,776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 delays and cancellations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(251,437)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(399,034)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(952,282)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March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383,929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101,047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482,867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1,032,473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typically have the greatest volatility because individual project awards can be less frequent and more significant.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decline in backlog in the Electrical Infrastructure segment is mainly attributable to the accelerating work related to the previously announced Napanee Power Generating Station project. Awards in power delivery continue to meet the Company's expectations.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Backlog in the Industrial segment was negatively impacted by a mining-related project cancellation of $11.6 million in the first quarter as well as a slowdown in the iron and steel and mining industries. The cancellation was not attributable to the Company's performance on the project. It is our belief that the cancellation was attributable to softness in commodity prices, including copper, to which the client is exposed.</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decline in backlog in the Storage Solutions Segment is attributable to the accelerating work related to the previously announced project for the construction of terminals supporting the Dakota Access Pipeline. In addition, a more cautious approach to decision-making on the part of clients, together with more conservative financial and regulatory requirements, is delaying the timing of some awards. Although we are seeing increased competition, awards for small and medium sized projects are generally meeting the Company's expectations.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Backlog in the Storage Solutions segment was negatively impacted in the second quarter by $22.0 million related to the indefinite delay of remaining work on a project for one of our Canadian customers for the construction of aboveground storage tanks at a storage terminal. At the onset of the project, the customer anticipated receiving the appropriate permitting approvals for the pipeline that would have run from the storage terminal to the Gulf Coast of the United States. In November of 2015, the President of the United States rejected approval of the pipeline. The customer was also considering deploying the storage tanks for another project that was indefinitely deferred due to the low price of crude oil.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Crude Oil and Other Commodity Price Declines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prolonged decline in crude prices is beginning to impact our income from operations and project awards, particularly in the Oil Gas &amp; Chemical and Storage Solutions segments. The Industrial segment continues to be negatively impacted by the low prices of other commodities, principally steel and copper. We do not expect the decline in commodity prices to have a significant impact to the Electrical Infrastructure segment.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mid and downstream portions of the Oil Gas &amp; Chemical segment, we continue to perform work attributable to routine maintenance and required turnarounds but are seeing a general slowdown of capital work which will negatively affect income in the near term. Additionally, since some of our mid and downstream customers are integrated oil companies with exposure to the price of crude, if the prices remain at current levels or decline, spending levels may be reduced. Our exposure to non-integrated upstream clients in the Oil Gas &amp; Chemical segment is not significant.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Storage Solutions segment, our customers continue to take a long-term view of the crude market and continue to be cautious short-term, particularly on larger projects. Based on the the current level and short-term outlook for crude oil prices, we are seeing a reduction in customer spending and some project award delays. We cannot predict the direction of crude oil prices or our customers’ ultimate reaction to the market and therefore cannot predict the magnitude of the impact to our future earnings.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Industrial segment, our iron and steel customers face significant uncertainty related to the slowdown in the Chinese economy and the related impact on steel imports and steel prices, the strong United States dollar, the domestic demand for steel and the impact of anti-dumping duties on steel imports. This uncertainty has reduced the capital, expansion and elective maintenance spending of our customers. Although we are seeing some encouraging signs in the market, we do not expect higher levels of spending until the overall uncertainty in this market is reduced and economic conditions within the industry improve. In the mining and minerals markets, we continue to see lower spending due to the softness of other commodity prices, particularly copper, to which our clients are exposed.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196"/>
        </w:trPr>
        <w:tc>
          <w:tcPr>
            <w:tcW w:w="4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946</w:t>
            </w:r>
          </w:p>
        </w:tc>
      </w:tr>
      <w:tr>
        <w:trPr>
          <w:trHeight w:val="27"/>
        </w:trPr>
        <w:tc>
          <w:tcPr>
            <w:tcW w:w="4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17,332</w:t>
            </w:r>
          </w:p>
        </w:tc>
      </w:tr>
      <w:tr>
        <w:trPr>
          <w:trHeight w:val="27"/>
        </w:trPr>
        <w:tc>
          <w:tcPr>
            <w:tcW w:w="48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45,684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27,790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- 27-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nine months ended March 31, 2016 were cash on hand, capacity under our senior revolving credit facility and cash generated from operations before consideration of changes in working capital. Cash on hand at March 31, 2016 totaled $73.4 million and availability under the senior revolving credit facility totaled $166.5 million resulting in available liquidity of $239.9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under the caption "Senior Revolving Credit Facility" included in this Financial Condition and Liquidity section of the Form 10-Q, our Credit Agreement includes a Senior Leverage Ratio covenant, which provides that Consolidated Funded Indebtedness, as of the end of any fiscal quarter, may not exceed 2.5 times Consolidated EBITDA, as defined in the Credit Agreement, over the previous four quarters. Consequently, project charges that the Company has recorded in connection with the acquired EPC joint venture have resulted in a short term capacity constraint on the Company's senior revolving credit facility Although the constraint reduces our liquidity,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short-term and long-term business objectives.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r>
              <w:rPr>
                <w:rFonts w:ascii="Arial" w:cs="Arial" w:eastAsia="Arial" w:hAnsi="Arial"/>
                <w:sz w:val="18"/>
                <w:szCs w:val="18"/>
                <w:b w:val="1"/>
                <w:bCs w:val="1"/>
                <w:color w:val="auto"/>
              </w:rPr>
              <w:t>Cash Flow for the Nine Months Ended March 31, 2016</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0060" w:type="dxa"/>
            <w:vAlign w:val="bottom"/>
          </w:tcPr>
          <w:p>
            <w:pPr>
              <w:spacing w:after="0"/>
              <w:rPr>
                <w:sz w:val="20"/>
                <w:szCs w:val="20"/>
                <w:color w:val="auto"/>
              </w:rPr>
            </w:pPr>
            <w:r>
              <w:rPr>
                <w:rFonts w:ascii="Arial" w:cs="Arial" w:eastAsia="Arial" w:hAnsi="Arial"/>
                <w:sz w:val="18"/>
                <w:szCs w:val="18"/>
                <w:i w:val="1"/>
                <w:iCs w:val="1"/>
                <w:color w:val="auto"/>
              </w:rPr>
              <w:t>Cash Flows Provided by Operating Activities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0540" w:type="dxa"/>
            <w:vAlign w:val="bottom"/>
            <w:gridSpan w:val="2"/>
          </w:tcPr>
          <w:p>
            <w:pPr>
              <w:spacing w:after="0"/>
              <w:rPr>
                <w:sz w:val="20"/>
                <w:szCs w:val="20"/>
                <w:color w:val="auto"/>
              </w:rPr>
            </w:pPr>
            <w:r>
              <w:rPr>
                <w:rFonts w:ascii="Arial" w:cs="Arial" w:eastAsia="Arial" w:hAnsi="Arial"/>
                <w:sz w:val="18"/>
                <w:szCs w:val="18"/>
                <w:color w:val="auto"/>
                <w:w w:val="93"/>
              </w:rPr>
              <w:t>Cash provided by operating activities for the nine months ended March 31, 2016 totaled $21.3 million. The various components are as follows:</w:t>
            </w:r>
          </w:p>
        </w:tc>
        <w:tc>
          <w:tcPr>
            <w:tcW w:w="880" w:type="dxa"/>
            <w:vAlign w:val="bottom"/>
          </w:tcPr>
          <w:p>
            <w:pPr>
              <w:spacing w:after="0"/>
              <w:rPr>
                <w:sz w:val="24"/>
                <w:szCs w:val="24"/>
                <w:color w:val="auto"/>
              </w:rPr>
            </w:pPr>
          </w:p>
        </w:tc>
      </w:tr>
      <w:tr>
        <w:trPr>
          <w:trHeight w:val="418"/>
        </w:trPr>
        <w:tc>
          <w:tcPr>
            <w:tcW w:w="10060" w:type="dxa"/>
            <w:vAlign w:val="bottom"/>
          </w:tcPr>
          <w:p>
            <w:pPr>
              <w:ind w:left="408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10060" w:type="dxa"/>
            <w:vAlign w:val="bottom"/>
          </w:tcPr>
          <w:p>
            <w:pPr>
              <w:ind w:left="5200"/>
              <w:spacing w:after="0"/>
              <w:rPr>
                <w:sz w:val="20"/>
                <w:szCs w:val="20"/>
                <w:color w:val="auto"/>
              </w:rPr>
            </w:pPr>
            <w:r>
              <w:rPr>
                <w:rFonts w:ascii="Arial" w:cs="Arial" w:eastAsia="Arial" w:hAnsi="Arial"/>
                <w:sz w:val="18"/>
                <w:szCs w:val="18"/>
                <w:color w:val="auto"/>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10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23,513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Cash effect of changes in operating assets and liabilities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(20,188)</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21,320</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cash effect of significant changes in operating assets and liabilities at March 31, 2016 in comparison to June 30, 2015 include the following:</w:t>
      </w:r>
    </w:p>
    <w:p>
      <w:pPr>
        <w:spacing w:after="0" w:line="237" w:lineRule="exact"/>
        <w:rPr>
          <w:sz w:val="20"/>
          <w:szCs w:val="20"/>
          <w:color w:val="auto"/>
        </w:rPr>
      </w:pPr>
    </w:p>
    <w:p>
      <w:pPr>
        <w:ind w:left="980" w:right="24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Accounts receivable, net of the impact of acquisitions, decreased by $23.7 million during nine months ended March 31, 2016. The variance is primarily attributable to lower revenues and billings in the fiscal 2016 third quarter compared to the prior year period fiscal third quarter.</w:t>
      </w:r>
    </w:p>
    <w:p>
      <w:pPr>
        <w:spacing w:after="0" w:line="123" w:lineRule="exact"/>
        <w:rPr>
          <w:rFonts w:ascii="Arial" w:cs="Arial" w:eastAsia="Arial" w:hAnsi="Arial"/>
          <w:sz w:val="16"/>
          <w:szCs w:val="16"/>
          <w:color w:val="auto"/>
        </w:rPr>
      </w:pPr>
    </w:p>
    <w:p>
      <w:pPr>
        <w:ind w:left="980" w:right="200" w:hanging="324"/>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and estimated earnings in excess of billings on uncompleted contracts ("CIE") increased $6.6 million million while billings on uncompleted contracts in excess of costs and estimated earnings ("BIE") decreased $29.9 million. The net change in CIE and BIE decreased cash $36.5 million for the nine months ended March 31, 2016. CIE and BIE balances can experience significant day-to-day fluctuations based on the timing of when job costs are incurred, the invoicing of those job costs to the customer, and other working capital management factors.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$24.5 million of cash in the first nine months of fiscal 2016 primarily due to the purchase of BTE for $13.0 million and capital expenditures of $11.7 million. Capital expenditures primarily consisted of $3.1 million for the purchase of construction equipment, $2.1 million for transportation and fabrication equipment, $1.7 million for office equipment, and $1.4 million for buildings. Proceeds from asset sales provided $0.3 million of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used $1.9 million of cash in the first nine months of fiscal 2016 primarily due to treasury share purchases of $10.0 million, repayments of borrowings of $7.7 million and repayment of acquired long-term debt of $1.9 million, partially offset by $10.9 million in proceeds contributed from the noncontrolling interest partner in our acquired EPC joint venture project, borrowings of $2.8 million under our credit facility, cash received for the issuance of stock options of $0.6 million, and $0.3 million in cash received from employees participating in the Company's employee stock purchase program. The excess tax benefit of exercised stock options and vesting of deferred shares provided $3.2 million of cash. Cash borrowings were used for Canadian dollar advances to fund our existing Canadian operations including amounts to settle intercompany cross currency billings and other borrowings to finance our short-term working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263" w:lineRule="exact"/>
        <w:rPr>
          <w:rFonts w:ascii="Arial" w:cs="Arial" w:eastAsia="Arial" w:hAnsi="Arial"/>
          <w:sz w:val="17"/>
          <w:szCs w:val="17"/>
          <w:color w:val="auto"/>
        </w:rPr>
      </w:pPr>
    </w:p>
    <w:p>
      <w:pPr>
        <w:ind w:left="5640" w:hanging="98"/>
        <w:spacing w:after="0"/>
        <w:tabs>
          <w:tab w:leader="none" w:pos="5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right="160" w:hanging="48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March 31, 2016, Consolidated EBITDA, as defined in the Credit Agreement, was $76.4 million. Accordingly, at March 31, 2016, there was a restriction on our ability to access the full amount of the credit facility. Based on current projections, management believes that the constraint will exist at June 30, 2016. However, the constraint is not expected to impact our ability to operate the business. Consolidated Funded Indebtedness at March 31, 2016 was $16.8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March 31, 2016 and June 30, 2015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8,804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166,530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borrowings at March 31, 2016 consisted of Canadian dollar advances to fund our existing Canadian operations including amounts to settle intercompany cross currency billings and other borrowings to finance our short-term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previously been in place.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As of March 31, 2016, the Company has purchased 613,772 shares under the program, of which 330,000 shares were purchased during the third quarter of fiscal 2016.</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202,916 shares in the first nine months of fiscal 2016 to satisfy these obligations. These shares were returned to the Company’s pool of treasury shares.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1,281,727 treasury shares as of March 31, 2016 and intends to utilize these treasury shares solely in connection with equity awards under the Company’s stock incentive 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2015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and mining and minerals industries in particular;</w:t>
      </w:r>
    </w:p>
    <w:p>
      <w:pPr>
        <w:spacing w:after="0" w:line="248"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2015, filed with the Securities and Exchange Commission. For more information on market risk, see Part II, Item 7A in our fiscal 2015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2016. Based on the foregoing, our Chief Executive Officer and Chief Financial Officer concluded that our disclosure controls and procedures were effective at the reasonable assurance level at March 31, 2016.</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2016, we completed our acquisition of Baillie Tank Equipment, Ltd ("BTE"). Except for the BTE operations acquired, which we excluded from our assessment of the effectiveness of our internal controls over financial reporting for the third quarter of fiscal 2016, there have been no changes in our internal controls over financial reporting that have materially affected, or are reasonably likely to materially affect our internal controls over financial reporting during the quarter ended March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2016.</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206"/>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6"/>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6"/>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center"/>
              <w:ind w:left="186"/>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tcPr>
          <w:p>
            <w:pPr>
              <w:jc w:val="center"/>
              <w:ind w:left="206"/>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tcPr>
          <w:p>
            <w:pPr>
              <w:jc w:val="center"/>
              <w:ind w:left="186"/>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ind w:left="186"/>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to January 31, 2016</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2,369,627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February 1 to February 29, 2016</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330,000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2,039,627</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1 to March 31, 2016</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2,039,627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120" w:hanging="316"/>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260" w:hanging="316"/>
        <w:spacing w:after="0" w:line="295"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November 4, 2014 the Board of Directors approved a stock buyback program.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Amended and Restated Bylaws (as amended and restated effective as of February 2, 2016) (Exhibit 3 to the Company's Current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Report on Form 8-K (File No. 1-15461) filed February 5, 2016, is hereby incorporated by reference).</w:t>
      </w:r>
    </w:p>
    <w:p>
      <w:pPr>
        <w:spacing w:after="0" w:line="170"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w:t>
      </w:r>
      <w:r>
        <w:rPr>
          <w:sz w:val="20"/>
          <w:szCs w:val="20"/>
          <w:color w:val="auto"/>
        </w:rPr>
        <w:tab/>
      </w:r>
      <w:r>
        <w:rPr>
          <w:rFonts w:ascii="Arial" w:cs="Arial" w:eastAsia="Arial" w:hAnsi="Arial"/>
          <w:sz w:val="16"/>
          <w:szCs w:val="16"/>
          <w:color w:val="auto"/>
        </w:rPr>
        <w:t>Second Amendment to Third Amended and Restated Credit Agreement dated as of May 3, 2016 among the Company, certain</w:t>
      </w:r>
    </w:p>
    <w:p>
      <w:pPr>
        <w:spacing w:after="0" w:line="23" w:lineRule="exact"/>
        <w:rPr>
          <w:sz w:val="20"/>
          <w:szCs w:val="20"/>
          <w:color w:val="auto"/>
        </w:rPr>
      </w:pPr>
    </w:p>
    <w:p>
      <w:pPr>
        <w:ind w:left="1940" w:right="320"/>
        <w:spacing w:after="0" w:line="255" w:lineRule="auto"/>
        <w:rPr>
          <w:sz w:val="20"/>
          <w:szCs w:val="20"/>
          <w:color w:val="auto"/>
        </w:rPr>
      </w:pPr>
      <w:r>
        <w:rPr>
          <w:rFonts w:ascii="Arial" w:cs="Arial" w:eastAsia="Arial" w:hAnsi="Arial"/>
          <w:sz w:val="18"/>
          <w:szCs w:val="18"/>
          <w:color w:val="auto"/>
        </w:rPr>
        <w:t>Canadian subsidiaries of the Company, the Lenders party thereto and JPMorgan Chase Bank, N.A. as Administrative Agent for the Lenders (Exhibit 10 to the Company's Current Report on Form 8-K (File No. 1-15461) filed May 5, 2016, is hereby incorporated by reference).</w:t>
      </w:r>
    </w:p>
    <w:p>
      <w:pPr>
        <w:spacing w:after="0" w:line="150"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Pursuant to 18 U.S.C. 1350 (section 906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32.2:</w:t>
      </w:r>
      <w:r>
        <w:rPr>
          <w:sz w:val="20"/>
          <w:szCs w:val="20"/>
          <w:color w:val="auto"/>
        </w:rPr>
        <w:tab/>
      </w:r>
      <w:r>
        <w:rPr>
          <w:rFonts w:ascii="Arial" w:cs="Arial" w:eastAsia="Arial" w:hAnsi="Arial"/>
          <w:sz w:val="16"/>
          <w:szCs w:val="16"/>
          <w:color w:val="auto"/>
        </w:rPr>
        <w:t>Certification Pursuant to 18 U.S.C. 1350 (section 906 of Sarbanes-Oxley Act of 2002) – CFO.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95:</w:t>
      </w:r>
      <w:r>
        <w:rPr>
          <w:sz w:val="20"/>
          <w:szCs w:val="20"/>
          <w:color w:val="auto"/>
        </w:rPr>
        <w:tab/>
      </w:r>
      <w:r>
        <w:rPr>
          <w:rFonts w:ascii="Arial" w:cs="Arial" w:eastAsia="Arial" w:hAnsi="Arial"/>
          <w:sz w:val="16"/>
          <w:szCs w:val="16"/>
          <w:color w:val="auto"/>
        </w:rPr>
        <w:t>Mine Safety Disclosure.</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101.INS:</w:t>
      </w:r>
      <w:r>
        <w:rPr>
          <w:sz w:val="20"/>
          <w:szCs w:val="20"/>
          <w:color w:val="auto"/>
        </w:rPr>
        <w:tab/>
      </w:r>
      <w:r>
        <w:rPr>
          <w:rFonts w:ascii="Arial" w:cs="Arial" w:eastAsia="Arial" w:hAnsi="Arial"/>
          <w:sz w:val="16"/>
          <w:szCs w:val="16"/>
          <w:color w:val="auto"/>
        </w:rPr>
        <w:t>XBRL Instance Document.</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101.SCH:</w:t>
      </w:r>
      <w:r>
        <w:rPr>
          <w:sz w:val="20"/>
          <w:szCs w:val="20"/>
          <w:color w:val="auto"/>
        </w:rPr>
        <w:tab/>
      </w:r>
      <w:r>
        <w:rPr>
          <w:rFonts w:ascii="Arial" w:cs="Arial" w:eastAsia="Arial" w:hAnsi="Arial"/>
          <w:sz w:val="16"/>
          <w:szCs w:val="16"/>
          <w:color w:val="auto"/>
        </w:rPr>
        <w:t>XBRL Taxonomy Schema Document.</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101.CAL:</w:t>
      </w:r>
      <w:r>
        <w:rPr>
          <w:sz w:val="20"/>
          <w:szCs w:val="20"/>
          <w:color w:val="auto"/>
        </w:rPr>
        <w:tab/>
      </w:r>
      <w:r>
        <w:rPr>
          <w:rFonts w:ascii="Arial" w:cs="Arial" w:eastAsia="Arial" w:hAnsi="Arial"/>
          <w:sz w:val="16"/>
          <w:szCs w:val="16"/>
          <w:color w:val="auto"/>
        </w:rPr>
        <w:t>XBRL Taxonomy Extension Calculation Linkbase Document.</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101.DEF:</w:t>
      </w:r>
      <w:r>
        <w:rPr>
          <w:sz w:val="20"/>
          <w:szCs w:val="20"/>
          <w:color w:val="auto"/>
        </w:rPr>
        <w:tab/>
      </w:r>
      <w:r>
        <w:rPr>
          <w:rFonts w:ascii="Arial" w:cs="Arial" w:eastAsia="Arial" w:hAnsi="Arial"/>
          <w:sz w:val="16"/>
          <w:szCs w:val="16"/>
          <w:color w:val="auto"/>
        </w:rPr>
        <w:t>XBRL Taxonomy Extension Definition Linkbase Document.</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101.LAB:</w:t>
      </w:r>
      <w:r>
        <w:rPr>
          <w:sz w:val="20"/>
          <w:szCs w:val="20"/>
          <w:color w:val="auto"/>
        </w:rPr>
        <w:tab/>
      </w:r>
      <w:r>
        <w:rPr>
          <w:rFonts w:ascii="Arial" w:cs="Arial" w:eastAsia="Arial" w:hAnsi="Arial"/>
          <w:sz w:val="16"/>
          <w:szCs w:val="16"/>
          <w:color w:val="auto"/>
        </w:rPr>
        <w:t>XBRL Taxonomy Extension Labels Linkbase Document.</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101.PRE:</w:t>
      </w:r>
      <w:r>
        <w:rPr>
          <w:sz w:val="20"/>
          <w:szCs w:val="20"/>
          <w:color w:val="auto"/>
        </w:rPr>
        <w:tab/>
      </w:r>
      <w:r>
        <w:rPr>
          <w:rFonts w:ascii="Arial" w:cs="Arial" w:eastAsia="Arial" w:hAnsi="Arial"/>
          <w:sz w:val="16"/>
          <w:szCs w:val="16"/>
          <w:color w:val="auto"/>
        </w:rPr>
        <w:t>XBRL Taxonomy Extension Presentation Linkbase Document.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- 35-</w:t>
      </w:r>
    </w:p>
    <w:p>
      <w:pPr>
        <w:sectPr>
          <w:pgSz w:w="11900" w:h="16838" w:orient="portrait"/>
          <w:cols w:equalWidth="0" w:num="1">
            <w:col w:w="11420"/>
          </w:cols>
          <w:pgMar w:left="240" w:top="341"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871"/>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740" w:type="dxa"/>
            <w:vAlign w:val="bottom"/>
          </w:tcPr>
          <w:p>
            <w:pPr>
              <w:spacing w:after="0"/>
              <w:rPr>
                <w:sz w:val="24"/>
                <w:szCs w:val="24"/>
                <w:color w:val="auto"/>
              </w:rPr>
            </w:pPr>
          </w:p>
        </w:tc>
      </w:tr>
      <w:tr>
        <w:trPr>
          <w:trHeight w:val="57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w w:val="89"/>
              </w:rPr>
              <w:t>Amended and Restated Bylaws (as amended and restated effective as of February 2, 2016) (Exhibit 3 to the Company's Current</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Report on Form 8-K (File No. 1-15461) filed February 5, 2016, is hereby incorporated by reference).</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w w:val="91"/>
              </w:rPr>
              <w:t>Second Amendment to Third Amended and Restated Credit Agreement dated as of May 3, 2016 among the Company, certain</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w w:val="90"/>
              </w:rPr>
              <w:t>Canadian subsidiaries of the Company, the Lenders party thereto and JPMorgan Chase Bank, N.A. as Administrative Agent for</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w w:val="98"/>
              </w:rPr>
              <w:t>the Lenders (Exhibit 10 to the Company's Current Report on Form 8-K (File No. 1-15461) filed May 5, 2016, is hereby</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incorporated by reference).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95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160"/>
          </w:cols>
          <w:pgMar w:left="240" w:top="324" w:right="4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2016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2016:</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7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Solvay</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Chemicals Inc.</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48-01295</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Big Island Mine</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&amp; Refinery 48-</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00154</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03131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upp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2019-12-29T10:44:47Z</dcterms:created>
  <dcterms:modified xsi:type="dcterms:W3CDTF">2019-12-29T10:44:47Z</dcterms:modified>
</cp:coreProperties>
</file>