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13"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1-15461</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MATRIX SERVICE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73-1352174</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40" w:space="720"/>
            <w:col w:w="37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3"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2011 there were 27,888,217 shares of the Company’s common stock, $0.01 par value per share, issued and 25,877,241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9"/>
            <w:vMerge w:val="restart"/>
          </w:tcPr>
          <w:p>
            <w:pPr>
              <w:jc w:val="center"/>
              <w:ind w:right="226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gridSpan w:val="9"/>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for the Three Months Ended September 30, 2011 and 2010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 as of September 30, 2011 and June 30, 2011</w:t>
              </w:r>
            </w:hyperlink>
          </w:p>
        </w:tc>
        <w:tc>
          <w:tcPr>
            <w:tcW w:w="1480" w:type="dxa"/>
            <w:vAlign w:val="bottom"/>
            <w:tcBorders>
              <w:top w:val="single" w:sz="8" w:color="0000EE"/>
            </w:tcBorders>
            <w:gridSpan w:val="2"/>
          </w:tcPr>
          <w:p>
            <w:pPr>
              <w:spacing w:after="0"/>
              <w:rPr>
                <w:sz w:val="24"/>
                <w:szCs w:val="24"/>
                <w:color w:val="auto"/>
              </w:rPr>
            </w:pPr>
          </w:p>
        </w:tc>
        <w:tc>
          <w:tcPr>
            <w:tcW w:w="20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September 30, 2011 and 2010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Changes in Stockholders’ Equity and Comprehensive Income for the Three Months Ended</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September 30, 2011 and 2010</w:t>
              </w:r>
            </w:hyperlink>
          </w:p>
        </w:tc>
        <w:tc>
          <w:tcPr>
            <w:tcW w:w="6840" w:type="dxa"/>
            <w:vAlign w:val="bottom"/>
            <w:tcBorders>
              <w:top w:val="single" w:sz="8" w:color="0000EE"/>
            </w:tcBorders>
            <w:gridSpan w:val="8"/>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1"/>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gridSpan w:val="9"/>
          </w:tcPr>
          <w:p>
            <w:pPr>
              <w:jc w:val="center"/>
              <w:ind w:right="226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26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32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Reserved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Exhibits</w:t>
              </w:r>
            </w:hyperlink>
          </w:p>
        </w:tc>
        <w:tc>
          <w:tcPr>
            <w:tcW w:w="620" w:type="dxa"/>
            <w:vAlign w:val="bottom"/>
            <w:tcBorders>
              <w:top w:val="single" w:sz="8" w:color="0000EE"/>
            </w:tcBorders>
            <w:gridSpan w:val="2"/>
          </w:tcPr>
          <w:p>
            <w:pPr>
              <w:spacing w:after="0"/>
              <w:rPr>
                <w:sz w:val="24"/>
                <w:szCs w:val="24"/>
                <w:color w:val="auto"/>
              </w:rPr>
            </w:pPr>
          </w:p>
        </w:tc>
        <w:tc>
          <w:tcPr>
            <w:tcW w:w="828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w:t>
              </w:r>
            </w:hyperlink>
          </w:p>
        </w:tc>
        <w:tc>
          <w:tcPr>
            <w:tcW w:w="944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169,321</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revenues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151,228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136,136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9"/>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2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state and foreign income taxes</w:t>
            </w:r>
          </w:p>
        </w:tc>
        <w:tc>
          <w:tcPr>
            <w:tcW w:w="2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3,509</w:t>
            </w:r>
          </w:p>
        </w:tc>
        <w:tc>
          <w:tcPr>
            <w:tcW w:w="300" w:type="dxa"/>
            <w:vAlign w:val="bottom"/>
          </w:tcPr>
          <w:p>
            <w:pPr>
              <w:spacing w:after="0"/>
              <w:rPr>
                <w:sz w:val="24"/>
                <w:szCs w:val="24"/>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9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24"/>
                <w:szCs w:val="24"/>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Basic</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26,549</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less allowances (September 30, 2011 - $1,395 and June 30, 2011 - $1,428)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104,481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206,279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215,550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Land and buildings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equipment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23,037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125,232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(71,385)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28,834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299,273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insurance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wages and benefits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capital lease obligation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100,138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capital lease obligation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Acquisition payable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101,034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106,765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 $.01 par value; 60,000,000 shares authorized; 27,888,217 shares issued as of September 30, 2011, and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2011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114,561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103,740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219,057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215,632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4"/>
              </w:rPr>
              <w:t>Less: Treasury stock, at cost –1,898,263 shares as of September 30, 2011, and 1,417,539 shares as of June 30, 2011</w:t>
            </w: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(20,818)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198,239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299,273</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3,509</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uncollectible accounts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969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(10,445)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Income tax receivable/payable</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3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(2,822)</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1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issued to Employee Stock Purchase Plan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treasury share purchases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cash used by financing activities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(5,025)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(20,672)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38,685</w:t>
            </w:r>
          </w:p>
        </w:tc>
        <w:tc>
          <w:tcPr>
            <w:tcW w:w="34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4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and Comprehensive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Retained</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June 30, 2011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$113,686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100,231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(15,961)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3,509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(5,400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Tax effect of exercised stock options and vesting of deferred shares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shares (40,787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Employee Stock Purchase Plan share purchase (1,012 shares)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 (517,088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treasury share purchases (10,835 shares)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Balances, September 30, 2011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279</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114,561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103,740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(20,818)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477</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2010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$111,637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81,252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(16,078)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495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$177,585</w:t>
            </w:r>
          </w:p>
        </w:tc>
        <w:tc>
          <w:tcPr>
            <w:tcW w:w="0" w:type="dxa"/>
            <w:vAlign w:val="bottom"/>
          </w:tcPr>
          <w:p>
            <w:pPr>
              <w:spacing w:after="0"/>
              <w:rPr>
                <w:sz w:val="1"/>
                <w:szCs w:val="1"/>
                <w:color w:val="auto"/>
              </w:rPr>
            </w:pPr>
          </w:p>
        </w:tc>
      </w:tr>
      <w:tr>
        <w:trPr>
          <w:trHeight w:val="322"/>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3,089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 effect from the vesting of deferred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Issuance of deferred shares (1,234 shares)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 purchases (462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2010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84,341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(16,079)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882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condensed consolidated financial statements include the accounts of Matrix Service Company (“Matrix Service”, “we”, “our”, “us”, “its” or the “Company”) and its subsidiaries, all of which are wholly owned. Intercompany balances and transactions have been eliminated in consolidation.</w:t>
      </w:r>
    </w:p>
    <w:p>
      <w:pPr>
        <w:spacing w:after="0" w:line="85"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for the interim periods.</w:t>
      </w:r>
    </w:p>
    <w:p>
      <w:pPr>
        <w:spacing w:after="0" w:line="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condensed financial statements should be read in conjunction with the audited financial statements for the year ended June 30, 2011, included in the Company’s Annual Report on Form 10-K for the year then ended. The Company’s business is cyclical due to the scope and timing of projects released by its customer base. In addition, Matrix Service generates a significant portion of its revenues under a comparatively few major contracts, which often do not commence or terminate in the same period from one year to the next. Accordingly, results for any interim period may not necessarily be indicative of future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Statements of Financial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No. 2011-05, “Comprehensive Income: Presentation of Comprehensive Income” (“ASU 2011-05”). ASU 2011-05 eliminates the option to present the components of other comprehensive income as part of the statement of stockholders’ equity. Instead, the Company will be required to report comprehensive income in either a single contiguous statement of comprehensive income which contains two sections, net income and other comprehensive income, or in two separate but consecutive statements. This new guidance is to be applied retrospectively. The provisions of ASU 2011-05 are effective for interim and annual periods beginning after December 15, 2011; therefore, the Company will adopt ASU 2011-05 in the third quarter of fiscal 2012. We do not believe ASU 2011-05 will impact the Company’s financial position or results of operations, as it only requires a change in the format of the current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participation, including the employer’s contributions to significant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does not change the requirement that an employer apply the recognition, measurement, and disclosure provisions for contingencies under ASC 450. Under ASC 450, if we determine that an obligation due to withdrawal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from a multiemployer plan is probable, the recognition of a liability and disclosure of the contingency is required. If we determine that an obligation due to withdrawal from a multiemployer plan is reasonably possible, only the disclosure of the contingency is required.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for the twelve months ended June 30, 2012. We do not believe ASU 2011-09 will impact the Company’s financial position or results of operations, as it is only requiring additional disclosures regarding the Company’s participation in multiemployer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incurred and estimated earnings recognized on uncompleted contracts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628,665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Billings on uncompleted contracts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603,706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Shown on balance sheet as:</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w w:val="97"/>
              </w:rPr>
              <w:t>Billings on uncompleted contracts in excess of costs and estimated earnings</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25,542</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Progress billings in accounts receivable at September 30, 2011 and June 30, 2011 included retentions to be collected within one year of $13.2 million and $13.9 million, respectively. Contract retentions collectible beyond one year totaled $2.7 million at September 30, 2011 and $0.9 million at June 30, 2011.</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Repair and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Construction</w:t>
            </w:r>
          </w:p>
        </w:tc>
        <w:tc>
          <w:tcPr>
            <w:tcW w:w="5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Maintenance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Services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3"/>
              </w:rPr>
              <w:t>Services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jc w:val="right"/>
              <w:ind w:right="220"/>
              <w:spacing w:after="0" w:line="142" w:lineRule="exact"/>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2011</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760" w:type="dxa"/>
            <w:vAlign w:val="bottom"/>
            <w:gridSpan w:val="3"/>
          </w:tcPr>
          <w:p>
            <w:pPr>
              <w:jc w:val="center"/>
              <w:ind w:left="1552"/>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33,010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21,048</w:t>
            </w:r>
          </w:p>
        </w:tc>
        <w:tc>
          <w:tcPr>
            <w:tcW w:w="160" w:type="dxa"/>
            <w:vAlign w:val="bottom"/>
          </w:tcPr>
          <w:p>
            <w:pPr>
              <w:spacing w:after="0"/>
              <w:rPr>
                <w:sz w:val="18"/>
                <w:szCs w:val="18"/>
                <w:color w:val="auto"/>
              </w:rPr>
            </w:pPr>
          </w:p>
        </w:tc>
        <w:tc>
          <w:tcPr>
            <w:tcW w:w="1180" w:type="dxa"/>
            <w:vAlign w:val="bottom"/>
            <w:gridSpan w:val="5"/>
          </w:tcPr>
          <w:p>
            <w:pPr>
              <w:jc w:val="right"/>
              <w:ind w:right="32"/>
              <w:spacing w:after="0"/>
              <w:rPr>
                <w:sz w:val="20"/>
                <w:szCs w:val="20"/>
                <w:color w:val="auto"/>
              </w:rPr>
            </w:pPr>
            <w:r>
              <w:rPr>
                <w:rFonts w:ascii="Arial" w:cs="Arial" w:eastAsia="Arial" w:hAnsi="Arial"/>
                <w:sz w:val="18"/>
                <w:szCs w:val="18"/>
                <w:color w:val="auto"/>
              </w:rPr>
              <w:t>$ 54,058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impairment loss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8,010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21,048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color w:val="auto"/>
                <w:w w:val="98"/>
              </w:rPr>
              <w:t>29,058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33,010</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8"/>
              </w:rPr>
              <w:t>53,834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Cumulative impairment loss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(25,000)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(25,000)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8,010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16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$ 28,834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Other Intangible Assets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38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rPr>
                <w:sz w:val="20"/>
                <w:szCs w:val="20"/>
                <w:color w:val="auto"/>
              </w:rPr>
            </w:pPr>
            <w:r>
              <w:rPr>
                <w:rFonts w:ascii="Arial" w:cs="Arial" w:eastAsia="Arial" w:hAnsi="Arial"/>
                <w:sz w:val="18"/>
                <w:szCs w:val="18"/>
                <w:color w:val="auto"/>
                <w:w w:val="93"/>
              </w:rPr>
              <w:t>Information on the carrying value of other intangible assets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10"/>
          </w:tcPr>
          <w:p>
            <w:pPr>
              <w:jc w:val="center"/>
              <w:ind w:right="720"/>
              <w:spacing w:after="0"/>
              <w:rPr>
                <w:sz w:val="20"/>
                <w:szCs w:val="20"/>
                <w:color w:val="auto"/>
              </w:rPr>
            </w:pPr>
            <w:r>
              <w:rPr>
                <w:rFonts w:ascii="Arial" w:cs="Arial" w:eastAsia="Arial" w:hAnsi="Arial"/>
                <w:sz w:val="14"/>
                <w:szCs w:val="14"/>
                <w:b w:val="1"/>
                <w:bCs w:val="1"/>
                <w:color w:val="auto"/>
                <w:w w:val="86"/>
              </w:rPr>
              <w:t>At September 30,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Carrying</w:t>
            </w:r>
          </w:p>
        </w:tc>
        <w:tc>
          <w:tcPr>
            <w:tcW w:w="480" w:type="dxa"/>
            <w:vAlign w:val="bottom"/>
          </w:tcPr>
          <w:p>
            <w:pPr>
              <w:spacing w:after="0"/>
              <w:rPr>
                <w:sz w:val="12"/>
                <w:szCs w:val="12"/>
                <w:color w:val="auto"/>
              </w:rPr>
            </w:pPr>
          </w:p>
        </w:tc>
        <w:tc>
          <w:tcPr>
            <w:tcW w:w="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12"/>
                <w:szCs w:val="12"/>
                <w:color w:val="auto"/>
              </w:rPr>
            </w:pPr>
          </w:p>
        </w:tc>
        <w:tc>
          <w:tcPr>
            <w:tcW w:w="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Useful Life</w:t>
            </w:r>
          </w:p>
        </w:tc>
        <w:tc>
          <w:tcPr>
            <w:tcW w:w="6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8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Amortization</w:t>
            </w:r>
          </w:p>
        </w:tc>
        <w:tc>
          <w:tcPr>
            <w:tcW w:w="480" w:type="dxa"/>
            <w:vAlign w:val="bottom"/>
          </w:tcPr>
          <w:p>
            <w:pPr>
              <w:spacing w:after="0"/>
              <w:rPr>
                <w:sz w:val="14"/>
                <w:szCs w:val="14"/>
                <w:color w:val="auto"/>
              </w:rPr>
            </w:pPr>
          </w:p>
        </w:tc>
        <w:tc>
          <w:tcPr>
            <w:tcW w:w="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7"/>
              </w:rPr>
              <w:t>(Years)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color w:val="auto"/>
                <w:w w:val="87"/>
              </w:rPr>
              <w:t>(In thousands)</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87"/>
              </w:rPr>
              <w:t>6 to 12</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$ 2,460</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Customer based</w:t>
            </w:r>
          </w:p>
        </w:tc>
        <w:tc>
          <w:tcPr>
            <w:tcW w:w="1360" w:type="dxa"/>
            <w:vAlign w:val="bottom"/>
          </w:tcPr>
          <w:p>
            <w:pPr>
              <w:spacing w:after="0"/>
              <w:rPr>
                <w:sz w:val="18"/>
                <w:szCs w:val="18"/>
                <w:color w:val="auto"/>
              </w:rPr>
            </w:pPr>
          </w:p>
        </w:tc>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1 to 15</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2,657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88"/>
              </w:rPr>
              <w:t>3 to 5</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547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amortizing intangibles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5,664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93"/>
              </w:rPr>
              <w:t>Indefinite</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$ 7,534</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$ 6,840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vMerge w:val="restart"/>
          </w:tcPr>
          <w:p>
            <w:pPr>
              <w:jc w:val="right"/>
              <w:ind w:right="83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At June 30, 2011</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Useful Life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(Years)</w:t>
            </w:r>
          </w:p>
        </w:tc>
        <w:tc>
          <w:tcPr>
            <w:tcW w:w="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6 to 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$ 2,460</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based</w:t>
            </w: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1 to 15</w:t>
            </w:r>
          </w:p>
        </w:tc>
        <w:tc>
          <w:tcPr>
            <w:tcW w:w="540" w:type="dxa"/>
            <w:vAlign w:val="bottom"/>
          </w:tcPr>
          <w:p>
            <w:pPr>
              <w:jc w:val="right"/>
              <w:spacing w:after="0"/>
              <w:rPr>
                <w:sz w:val="20"/>
                <w:szCs w:val="20"/>
                <w:color w:val="auto"/>
              </w:rPr>
            </w:pPr>
            <w:r>
              <w:rPr>
                <w:rFonts w:ascii="Arial" w:cs="Arial" w:eastAsia="Arial" w:hAnsi="Arial"/>
                <w:sz w:val="18"/>
                <w:szCs w:val="18"/>
                <w:color w:val="auto"/>
              </w:rPr>
              <w:t>2,657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3 to 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5,664</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Indefinite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$ 7,534</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expense totaled approximately $0.1 million in the first quarter of fiscal 2012 and the first quarter of fiscal 2011. Amortization expense is expected to be $0.4 million annually in fiscal years 2012 to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2011, the Company had a five-year, $75.0 million senior revolving credit facility (“Credit Facility”) with a November 30, 2012 expiration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320" w:type="dxa"/>
            <w:vAlign w:val="bottom"/>
            <w:gridSpan w:val="4"/>
          </w:tcPr>
          <w:p>
            <w:pPr>
              <w:ind w:left="19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420"/>
              <w:spacing w:after="0" w:line="142" w:lineRule="exact"/>
              <w:rPr>
                <w:sz w:val="20"/>
                <w:szCs w:val="20"/>
                <w:color w:val="auto"/>
              </w:rPr>
            </w:pPr>
            <w:r>
              <w:rPr>
                <w:rFonts w:ascii="Arial" w:cs="Arial" w:eastAsia="Arial" w:hAnsi="Arial"/>
                <w:sz w:val="14"/>
                <w:szCs w:val="14"/>
                <w:color w:val="auto"/>
                <w:w w:val="84"/>
              </w:rPr>
              <w:t>(In thousands)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21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Letters of credit issued</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senior credit facility</w:t>
            </w:r>
          </w:p>
        </w:tc>
        <w:tc>
          <w:tcPr>
            <w:tcW w:w="21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67,447</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67,516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Credit Facility was guaranteed by substantially all of the Company’s subsidiaries and was secured by a lien on substantially all of the Company’s assets. The credit agreement contained customary affirmative and negative covenants that placed certain restrictions on the Company, including limits on new debt, operating and capital lease obligations, asset sales and certain distributions, including dividends. At September 30, 2011, the Company was in compliance with all affirmative, negative, and financial covenants under the credit agreement.</w:t>
      </w:r>
    </w:p>
    <w:p>
      <w:pPr>
        <w:spacing w:after="0" w:line="143"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On November 7, 2011, the Company entered into the Third Amended and Restated Credit Agreement (the “New Credit Agreement”), by and among the Company, JPMorgan Chase Bank, N.A., as Administrative Agent, Lender and Issuing Bank, and the other Lenders party thereto, which replaces the Second Amended and Restated Credit Agreement dated as of November 30, 2006, as previously amended (the “Prior Credit Agreement”).</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New Credit Agreement provides for a five-year senior secured revolving credit facility of $125.0 million, which replaces the $75.0 million senior revolving credit facility under the Prior Credit Agreement. The New Credit Agreement may be used for working capital, issuance of letters of credit and other lawful corporate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with the Prior Credit Agreement, the New Credit Agreement includes significant covenants and borrowing limitations. Covenants and limitations in the Prior Credit Agreement that did not change and are included in the New Credit Agreement, include but are not limited to, the following:</w:t>
      </w:r>
    </w:p>
    <w:p>
      <w:pPr>
        <w:spacing w:after="0" w:line="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of less than 2.50 to 1.00.</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with the Prior Credit Agreement, we will be required to maintain a fixed charge coverage ratio greater than or equal to 1.25 to 1.00. However, the numerator will now consist of Consolidated EBITDA less Capital Expenditures and Distributions.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differs in certain respects from the Prior Credit Agreement including, but not limited to, the following:</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previous financial covenant requiring us to maintain an Asset Coverage Ratio greater than or equal to 1.45 to 1.00 has been eliminated.</w:t>
      </w:r>
    </w:p>
    <w:p>
      <w:pPr>
        <w:spacing w:after="0" w:line="113"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previous financial covenant requiring us to maintain a Tangible Net Worth of no less than the sum of $110.0 million, plus the net proceeds of any issuance of equity that occurs after November 30, 2008, plus 50% of all positive quarterly net income after November 30, 2008 was eliminated.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limitations on capital lease and operating lease obligations have been eliminated.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limit on asset dispositions (other than inventory and obsolete or unneeded equipment disposed of in the ordinary course of business) has been increased from $7.5 million per 12-month period to $15.0 million per 12-month period.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borrowed under the new credit facility bear interest at LIBOR or an Alternate Base Rate, plus in each case, an additional margin based on the Senior Leverage Ratio. The New Credit Agreement includes additional margin ranges on Alternate Base Rate loans between 0.75% and 1.5% and 1.75% and 2.5% on LIBOR-based loans. The additional margins in the Prior Credit Agreement were between 1.00% and 1.75% on Alternate Base Rate loans and between 2.00% and 2.75% on LIBOR-based loans.</w:t>
      </w:r>
    </w:p>
    <w:p>
      <w:pPr>
        <w:spacing w:after="0" w:line="62" w:lineRule="exact"/>
        <w:rPr>
          <w:rFonts w:ascii="Arial" w:cs="Arial" w:eastAsia="Arial" w:hAnsi="Arial"/>
          <w:sz w:val="18"/>
          <w:szCs w:val="18"/>
          <w:color w:val="auto"/>
        </w:rPr>
      </w:pPr>
    </w:p>
    <w:p>
      <w:pPr>
        <w:ind w:left="900" w:hanging="325"/>
        <w:spacing w:after="0" w:line="289"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New Credit Agreement also permits us to borrow in Canadian dollars with a sublimit of U.S. $15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commonly known as the “prime rate” and (ii) the CDOR Rate plus 1.0%.</w:t>
      </w:r>
    </w:p>
    <w:p>
      <w:pPr>
        <w:spacing w:after="0" w:line="37"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Unused Credit Facility Fee, which continues to be based on the Senior Leverage Ratio, was reduced from a range of 0.35% to 0.50% under the Prior Credit Agreement to a range of 0.30% to 0.45% under the New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that the assets will be recovered.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insurance policies or surety bonds for specific customers or provide letters of credit in lieu of bonds to satisfy performance and financial guarantees on some projects. Matrix Service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Costs and estimated earnings in excess of billings on uncompleted contracts included revenues for unapproved change orders of $5.1 million at September 30, 2011 and June 30, 2011. There were no revenues related to claims included in costs and estimated earnings in excess of billings on uncompleted contracts at September 30, 2011 or June 30, 2011.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Claims Receivable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continues to pursue collection of certain claim receivables acquired in connection with the purchase of S.M. Electric Company, Inc. in February 2009. In September 2011, we received $1.5 million as settlement for a portion of these claims. The settlement amount approximated the book value of the receivable; therefore, no gain or loss was recognized. The recorded value at September 30, 2011 of $0.7 million represents the Company’s best estimate of the remaining amount to be collected. Recovering the remaining receivable, including any amounts due not specifically related to the claim, will require mediation or litigation and the ultimate amount realized may be significantly different than the recorded amount resulting in a material adjustment to future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and its subsidiaries are named as defendants in various other legal actions. It is the opinion of management that none of the known legal actions will have a material adverse impact on the Company’s financial position, results of operations or liquidity.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consists of foreign currency translation adjustments.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89"/>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w w:val="89"/>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12"/>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employee and director stock options and nonvested deferred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0" w:type="dxa"/>
            <w:vAlign w:val="bottom"/>
            <w:gridSpan w:val="3"/>
          </w:tcPr>
          <w:p>
            <w:pPr>
              <w:ind w:left="7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4"/>
          </w:tcPr>
          <w:p>
            <w:pPr>
              <w:jc w:val="center"/>
              <w:ind w:right="114"/>
              <w:spacing w:after="0" w:line="131" w:lineRule="exact"/>
              <w:rPr>
                <w:sz w:val="20"/>
                <w:szCs w:val="20"/>
                <w:color w:val="auto"/>
              </w:rPr>
            </w:pPr>
            <w:r>
              <w:rPr>
                <w:rFonts w:ascii="Arial" w:cs="Arial" w:eastAsia="Arial" w:hAnsi="Arial"/>
                <w:sz w:val="14"/>
                <w:szCs w:val="14"/>
                <w:color w:val="auto"/>
                <w:w w:val="85"/>
              </w:rPr>
              <w:t>(In thousands, except 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1"/>
              </w:rPr>
              <w:t>data)</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268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3,509</w:t>
            </w: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60" w:type="dxa"/>
            <w:vAlign w:val="bottom"/>
            <w:gridSpan w:val="2"/>
          </w:tcPr>
          <w:p>
            <w:pPr>
              <w:spacing w:after="0"/>
              <w:rPr>
                <w:sz w:val="20"/>
                <w:szCs w:val="20"/>
                <w:color w:val="auto"/>
              </w:rPr>
            </w:pPr>
            <w:r>
              <w:rPr>
                <w:rFonts w:ascii="Arial" w:cs="Arial" w:eastAsia="Arial" w:hAnsi="Arial"/>
                <w:sz w:val="18"/>
                <w:szCs w:val="18"/>
                <w:color w:val="auto"/>
              </w:rPr>
              <w:t>Basic EPS</w:t>
            </w:r>
          </w:p>
        </w:tc>
        <w:tc>
          <w:tcPr>
            <w:tcW w:w="268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Weighted average shares outstanding – basic</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26,400</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Dilutive stock options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Dilutive nonvested deferred shares</w:t>
            </w:r>
          </w:p>
        </w:tc>
        <w:tc>
          <w:tcPr>
            <w:tcW w:w="2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6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268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vMerge w:val="restart"/>
          </w:tcPr>
          <w:p>
            <w:pPr>
              <w:jc w:val="right"/>
              <w:ind w:right="1592"/>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2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0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1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792"/>
              <w:spacing w:after="0" w:line="142" w:lineRule="exact"/>
              <w:rPr>
                <w:sz w:val="20"/>
                <w:szCs w:val="20"/>
                <w:color w:val="auto"/>
              </w:rPr>
            </w:pPr>
            <w:r>
              <w:rPr>
                <w:rFonts w:ascii="Arial" w:cs="Arial" w:eastAsia="Arial" w:hAnsi="Arial"/>
                <w:sz w:val="14"/>
                <w:szCs w:val="14"/>
                <w:color w:val="auto"/>
                <w:w w:val="89"/>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Nonvested deferred shares</w:t>
            </w:r>
          </w:p>
        </w:tc>
        <w:tc>
          <w:tcPr>
            <w:tcW w:w="2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reportable segments, the Construction Services segment and the Repair and Maintenance Services segment.</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primary services of our Construction Services segment are aboveground storage tanks for the bulk storage/terminal industry, capital construction for the downstream petroleum industry, specialty construction, and electrical/instrumentation services for various industries. These services, including civil/structural, mechanical, piping, electrical and instrumentation, millwrighting, and fabrication, are provided for projects of varying complexities, schedule durations, and budgets. Our project experience includes renovations, retrofits, modifications and expansions to existing facilities as well as construction of new facilities.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services of our Repair and Maintenance Services segment are aboveground storage tank repair and maintenance services including tank inspection, cleaning and ASME code repairs, planned major and routine maintenance for the downstream petroleum industry and electrical and instrumentation repair and maintenance.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of capital expenditures that relate to corporate assets as well as the period-end corporate asset balances.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8"/>
              </w:rPr>
              <w:t>Repair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Construction</w:t>
            </w: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Maintenance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September 30, 2011</w:t>
            </w:r>
          </w:p>
        </w:tc>
        <w:tc>
          <w:tcPr>
            <w:tcW w:w="2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revenues</w:t>
            </w:r>
          </w:p>
        </w:tc>
        <w:tc>
          <w:tcPr>
            <w:tcW w:w="2220" w:type="dxa"/>
            <w:vAlign w:val="bottom"/>
            <w:gridSpan w:val="2"/>
          </w:tcPr>
          <w:p>
            <w:pPr>
              <w:ind w:left="2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102,865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$172,887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2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99,597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69,724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169,321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106,049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46,936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expenditures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511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18"/>
                <w:szCs w:val="18"/>
                <w:color w:val="auto"/>
              </w:rPr>
            </w:pPr>
          </w:p>
        </w:tc>
      </w:tr>
      <w:tr>
        <w:trPr>
          <w:trHeight w:val="32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22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2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11,344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Segment assets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147,082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97,252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48,246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292,580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 from external customers by market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Repair and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Maintenance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w w:val="79"/>
              </w:rPr>
              <w:t>Services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2011</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60" w:type="dxa"/>
            <w:vAlign w:val="bottom"/>
            <w:gridSpan w:val="2"/>
          </w:tcPr>
          <w:p>
            <w:pPr>
              <w:ind w:left="39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58,654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24,599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15,038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ind w:left="39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99,597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69,724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60" w:type="dxa"/>
            <w:vAlign w:val="bottom"/>
            <w:gridSpan w:val="2"/>
          </w:tcPr>
          <w:p>
            <w:pPr>
              <w:ind w:left="39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40,780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21,232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29,922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ind w:left="39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97,514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54,324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940" w:type="dxa"/>
            <w:vAlign w:val="bottom"/>
            <w:vMerge w:val="restart"/>
          </w:tcPr>
          <w:p>
            <w:pPr>
              <w:jc w:val="right"/>
              <w:ind w:right="233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There have been no material changes in our critical accounting policies from those reported in our fiscal 2011 Annual Report on Form 10-K filed with the SEC. For more information on our critical accounting policies, see Part II, Item 7 of our fiscal 2011 Annual Report on Form 10-K. The following section provides certain information with respect to our critical accounting estimates as of the close of our most recent quarterly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$5.1 million at September 30, 2011 and June 30, 2011. There were no revenues related to claims included in costs and estimated earnings in excess of billings on uncompleted contracts at September 30, 2011 or June 30, 2011. The amounts ultimately realized may be significantly different than the recorded amounts resulting in a material adjustment to future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Claims Receivable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continues to pursue collection of certain claim receivables acquired in connection with the purchase of S.M. Electric Company, Inc. in February 2009. In September 2011, we received $1.5 million as settlement for a portion of these claims. The settlement amount approximated the book value of the receivable; therefore, no gain or loss was recognized. The recorded value at September 30, 2011 of $0.7 million represents the Company’s best estimate of the remaining amount to be collected. Recovering the remaining receivable, including any amounts due not specifically related to the claim, will require mediation or litigation and the ultimate amount realized may be significantly different than the recorded amount resulting in a material adjustment to future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As of September 30, 2011 and June 30, 2011, the Company recorded insurance reserves totaling $8.0 million, and $7.5 million, respectively. These amounts represent our best estimate of our ultimate obligations for asserted claims, insurance premium obligations and claims incurred but not yet reported. We establish reserves for claims using a combination of actuarially determined estimates and case-by-case evaluations of the underlying claim data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has three significant reporting units with goodwill representing 55%, 15% and 14% of the total goodwill balance. Our most recent annual goodwill impairment test, performed in the fourth quarter of fiscal 2011, indicated that the fair value of these reporting units exceeded their respective carrying values by 26%, 94% and 82%, respectively. Based on the excess of estimated fair value over carrying value and the absence of any indicators of impairment at September 30, 2011, the Company does not currently anticipate recording a goodwill impairment charge for any of its operating units.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No. 2011-05, “Comprehensive Income: Presentation of Comprehensive Income” (“ASU 2011-05”). ASU 2011-05 eliminates the option to present the components of other comprehensive income as part of the statement of stockholders’ equity. Instead, the Company will be required to report comprehensive income in either a single contiguous statement of comprehensive income which contains two sections, net income and other comprehensive income, or in two separate but consecutive statements. This new guidance is to be applied retrospectively. The provisions of ASU 2011-05 are effective for interim and annual periods beginning after December 15, 2011; therefore, the Company will adopt ASU 2011-05 in the third quarter of fiscal 2012. We do not believe ASU 2011-05 will impact the Company’s financial position or results of operations, as it only requires a change in the format of the current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participation, including the employer’s contributions to significant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does not change the requirement that an employer apply the recognition, measurement, and disclosure provisions for contingencies under ASC 450. Under ASC 450, if we determine that an obligation due to withdrawal from a multiemployer plan is probable, the recognition of a liability and disclosure of the contingency is required. If we determine that an obligation due to withdrawal from a multiemployer plan is reasonably possible, only the disclosure of the contingency is required.</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for the twelve months ended June 30, 2012. We do not believe ASU 2011-09 will impact the Company’s financial position or results of operations, as it is only requiring additional disclosures regarding the Company’s participation in multiemployer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has two reportable segments, Construction Services and Repair and Maintenance Services. The majority of the work for both segments is performed in the United States with 7.8% of revenues generated in Canada during the first quarter of fiscal 2012.</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primary services of our Construction Services segment are aboveground storage tanks for the bulk storage/terminal industry, capital construction for the downstream petroleum industry, specialty construction, and electrical and instrumentation services for various industries. These services, including civil/structural, mechanical, piping, electrical and instrumentation, millwrighting, and fabrication, are provided for projects of varying complexities, schedule durations, and budgets. Our project experience includes renovations, retrofits, modifications and expansions to existing facilities as well as construction of new facilities.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primary services of our Repair and Maintenance Services segment are aboveground storage tank repair and maintenance services, planned major and routine maintenance for the downstream petroleum industry and electrical and instrumentation repair and maintenance for various industries.</w:t>
      </w:r>
    </w:p>
    <w:p>
      <w:pPr>
        <w:spacing w:after="0" w:line="160" w:lineRule="exact"/>
        <w:rPr>
          <w:sz w:val="20"/>
          <w:szCs w:val="20"/>
          <w:color w:val="auto"/>
        </w:rPr>
      </w:pPr>
    </w:p>
    <w:p>
      <w:pPr>
        <w:ind w:right="3860"/>
        <w:spacing w:after="0" w:line="347" w:lineRule="auto"/>
        <w:rPr>
          <w:sz w:val="20"/>
          <w:szCs w:val="20"/>
          <w:color w:val="auto"/>
        </w:rPr>
      </w:pPr>
      <w:r>
        <w:rPr>
          <w:rFonts w:ascii="Arial" w:cs="Arial" w:eastAsia="Arial" w:hAnsi="Arial"/>
          <w:sz w:val="18"/>
          <w:szCs w:val="18"/>
          <w:b w:val="1"/>
          <w:bCs w:val="1"/>
          <w:color w:val="auto"/>
        </w:rPr>
        <w:t xml:space="preserve">Three Months Ended September 30, 2011 Compared to the Three Months Ended September 30, 2010 </w:t>
      </w:r>
      <w:r>
        <w:rPr>
          <w:rFonts w:ascii="Arial" w:cs="Arial" w:eastAsia="Arial" w:hAnsi="Arial"/>
          <w:sz w:val="18"/>
          <w:szCs w:val="18"/>
          <w:b w:val="1"/>
          <w:bCs w:val="1"/>
          <w:i w:val="1"/>
          <w:iCs w:val="1"/>
          <w:color w:val="auto"/>
        </w:rPr>
        <w:t>Consolidated</w:t>
      </w:r>
    </w:p>
    <w:p>
      <w:pPr>
        <w:spacing w:after="0" w:line="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Consolidated revenues were $169.3 million for the three months ended September 30, 2011, an increase of $17.5 million, or 11.5%, from consolidated revenues of $151.8 million in the same period in the prior fiscal year. The increase in consolidated revenues was a result of an increase of $15.4 million in Repair and Maintenance Services revenues and an increase of $2.1 million in Construction Services revenues.</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Consolidated gross profit increased from $15.7 million in the three months ended September 30, 2010 to $18.1 million in the three months ended September 30, 2011. The increase of $2.4 million was primarily due to higher revenues and slightly higher gross margins, which increased to 10.7% in the first quarter of fiscal 2012 compared to 10.3% in the same period in the prior fiscal year.</w:t>
      </w:r>
    </w:p>
    <w:p>
      <w:pPr>
        <w:spacing w:after="0" w:line="14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Consolidated SG&amp;A expenses for the first quarter of fiscal 2012 were $11.5 million compared to $10.6 million in the first quarter of fiscal 2011. The net increase of $0.9 million was primarily due to non-routine stock compensation and relocation expenses and increased costs due to strategic realignment activities. SG&amp;A expense as a percentage of revenue decreased to 6.8% in the three months ended September 30, 2011 compared to 7.0% in the same period in the prior fiscal year.</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was $0.3 million in the three months ended September 30, 2011 compared to $0.2 million in the same period in the prior fiscal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 the three months ended September 30, 2011 was $0.7 million and related primarily to foreign currency transaction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38.0% for the three months ended September 30,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Services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for the Construction Services segment were $99.6 million in the first quarter of fiscal 2012, compared with $97.5 million in the same period a year earlier. The increase of $2.1 million was due to higher Aboveground Storage Tank revenues which increased to $58.7 million in the three months ended September 30, 2011 compared to $40.8 million in the same period a year earlier, and higher Specialty revenues, which increased to $6.3 million in the first quarter of fiscal 2012, compared to $5.9 million in the first quarter of fiscal 2011. These increases were largely offset by lower Electrical and Instrumentation and Downstream Petroleum revenues, which were $15.0 million and $19.6 million, respectively, in the three months ended September 30, 2011, compared to $29.9 million and $20.9 million, respectively, in the same period a year earlier. The decrease in Electrical and Instrumentation revenues is primarily due to the completion of projects that contributed significantly to revenues in the first quarter of fiscal 2011.</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Gross profit decreased from $11.3 million in the first quarter of fiscal 2011 to $10.9 million in the first quarter of fiscal 2012. The decrease of $0.4 million was primarily due to lower gross margins which decreased to 10.9% in the three months ended September 30, 2011 compared to 11.6% a year earlier. The lower gross margins were primarily due to lower overhead cost recovery in the first quarter of fiscal 2012, partially offset by higher direct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Repair and Maintenance Services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for the Repair and Maintenance Services segment were $69.7 million in the first quarter of fiscal 2012, compared with $54.3 million in the same period a year earlier. The increase of $15.4 million was due to higher Downstream Petroleum revenues which increased to $31.9 million in the first quarter of fiscal 2012 compared to $22.4 million in the same period a year earlier, higher Aboveground Storage Tank revenues, which increased to $24.6 million in the first quarter of fiscal 2012 compared to $21.2 million in the first quarter of fiscal 2011, and higher Electrical and Instrumentation revenues, which were $13.2 million in fiscal 2012 versus $10.7 million in the same period a year earlier. The increase in Downstream Petroleum revenues is primarily due to a higher volume of turnaround activity in the first quarter of fiscal 2012.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Gross profit increased from $4.4 million in the first quarter of fiscal 2011 to $7.2 million in the first quarter of fiscal 2012. The $2.8 million increase was due to higher revenues combined with higher gross margins which increased to 10.4% in the three months ended September 30, 2011 compared to 8.0% in the same period a year earlier. The improvement in gross margins in the first quarter of fiscal 2012 was due to the combination of higher direct margins and the favorable effect of improved recovery of overhead costs caused by a higher business volume in the first quarter of fiscal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define backlog as the total dollar amount of revenues that we expect to recognize as a result of performing work that has been awarded to us through a signed contract that we consider firm. The following contract types are considered firm:</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contracts in which the estimated contract value is firm or can be estimated with a reasonable amount of certainty in both timing and amounts.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long-term maintenance contracts we include only the amounts that we expect to recognize into revenue over the next 12 months. For all other arrangements, we calculate backlog as the estimated contract amount less the revenue recognized as of the reporting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Repair and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Maintenance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Services</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color w:val="auto"/>
                <w:w w:val="87"/>
              </w:rPr>
              <w:t>(In thousands)</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Backlog as of June 30,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225,733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179,385</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$ 405,118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New awards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124,996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65,807</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190,803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(69,724)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(169,321)</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Backlog as of September 30, 2011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251,132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175,468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$ 426,600</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September 30, 2011 the Construction Services segment had a backlog of $251.1 million, as compared to a backlog of $225.7 million as of June 30, 2011. The increase of $25.4 million is due to increases in Electrical and Instrumentation of $24.8 million, Specialty of $4.2 million and Downstream Petroleum of $2.3 million, partially offset by a decrease in Aboveground Storage Tank of $5.9 million. The backlog at September 30, 2011 and June 30, 2011 for the Repair and Maintenance Services segment was $175.5 million and $179.4 million, respectively. The decrease of $3.9 million is due to the decrease in Electrical and Instrumentation of $5.6 million and Downstream Petroleum of $0.1 million, partially offset by an increase in Aboveground Storage Tank of $1.8 million. Downstream Petroleum backlog was unchanged.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27" w:lineRule="exact"/>
        <w:rPr>
          <w:sz w:val="20"/>
          <w:szCs w:val="20"/>
          <w:color w:val="auto"/>
        </w:rPr>
      </w:pPr>
    </w:p>
    <w:p>
      <w:pPr>
        <w:ind w:left="900" w:right="8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0" w:type="dxa"/>
            <w:vAlign w:val="bottom"/>
            <w:gridSpan w:val="3"/>
          </w:tcPr>
          <w:p>
            <w:pPr>
              <w:ind w:left="7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tcPr>
          <w:p>
            <w:pPr>
              <w:jc w:val="center"/>
              <w:ind w:left="320"/>
              <w:spacing w:after="0" w:line="142" w:lineRule="exact"/>
              <w:rPr>
                <w:sz w:val="20"/>
                <w:szCs w:val="20"/>
                <w:color w:val="auto"/>
              </w:rPr>
            </w:pPr>
            <w:r>
              <w:rPr>
                <w:rFonts w:ascii="Arial" w:cs="Arial" w:eastAsia="Arial" w:hAnsi="Arial"/>
                <w:sz w:val="14"/>
                <w:szCs w:val="14"/>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 expense</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0" w:type="dxa"/>
            <w:vAlign w:val="bottom"/>
            <w:vMerge w:val="restart"/>
          </w:tcPr>
          <w:p>
            <w:pPr>
              <w:jc w:val="right"/>
              <w:ind w:right="1592"/>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define liquidity as the ongoing ability to pay our liabilities as they become due, fund business operations and meet all monetary contractual obligations. Our primary source of liquidity for the three months ended September 30, 2011 was cash on hand at the beginning of the year. Cash on hand at September 30, 2011 totaled $38.7 million and availability under the senior revolving credit facility totaled $67.4 million resulting in total liquidity of $106.1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terms that determine the timing of billings to customers and the collection of those billings</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Maintaining full capacity under our senior revolving credit facility and remaining in compliance with all covenants contained in the credit agreement</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future we may elect to raise additional capital by issuing common or preferred stock, convertible notes, term debt or increase the amount of our revolving credit facility as necessary to fund our operations or to fund the acquisition of other businesses. We will continue to evaluate our working capital requirements and other factors to maintain sufficient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Three Months Ended September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Operating Activities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Increased business activity in the three months ended September 30, 2011 led to higher working capital balances, which caused operations to use $12.1 million of cash. The cash effect of significant changes in working capital include the following:</w:t>
      </w:r>
    </w:p>
    <w:p>
      <w:pPr>
        <w:spacing w:after="0" w:line="51" w:lineRule="exact"/>
        <w:rPr>
          <w:sz w:val="20"/>
          <w:szCs w:val="20"/>
          <w:color w:val="auto"/>
        </w:rPr>
      </w:pPr>
    </w:p>
    <w:p>
      <w:pPr>
        <w:jc w:val="both"/>
        <w:ind w:left="90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net change in the combined balances of costs and estimated earnings in excess of billings on uncompleted contracts and billings on uncompleted contracts in excess of costs and estimated earnings caused an increase in operating assets and liabilities and a decrease to cash of $20.4 million in the first quarter of fiscal 2012. This change was primarily attributable to the Company being required to fund more work and having fewer contracts that allow for advance billing in our Aboveground Storage Tank and Electrical and Instrumentation markets in the Construction Services segment.</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Accrued expenses decreased by $5.9 million. The decrease was primarily due to the payment of fiscal year 2011 employee incentives.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by $7.5 million. The increase was primarily due to increase in business activity in September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taxes receivable/payable increased by $3.1 million due to timing of income tax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Investing activities used $2.8 million of cash in the three months ended September 30, 2011 due to capital expenditures of $3.0 million, partially offset by proceeds from asset dispositions of $0.2 million. Capital expenditures included $1.7 million for the purchase of construction equipment, $1.1 million for transportation equipment and $0.2 million for office equipment and software.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Financing activities used $5.0 million of cash in the three months ended September 30, 2011 primarily due to the purchase of 517,088 shares of common stock under the Company’s stock buyback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September 30, 2011, the Company had a five-year, $75.0 million senior revolving credit facility (“Credit Facility”) with a November 30, 2012 expiration date. The Credit Facility was guaranteed by substantially all of the Company’s subsidiaries and was secured by a lien on substantially all of the Company’s assets. The credit agreement contained customary affirmative and negative covenants that placed certain restrictions on the Company, including limits on new debt, operating and capital lease obligations, asset sales and certain distributions, including dividends. At September 30, 2011, the Company was in compliance with all affirmative, negative, and financial covenants under the credit agreement.</w:t>
      </w:r>
    </w:p>
    <w:p>
      <w:pPr>
        <w:spacing w:after="0" w:line="1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On November 7, 2011, the Company entered into the Third Amended and Restated Credit Agreement (the “New Credit Agreement”), by and among the Company, JPMorgan Chase Bank, N.A., as Administrative Agent, Lender and Issuing Bank, and the other Lenders party thereto, which replaces the Second Amended and Restated Credit Agreement dated as of November 30, 2006, as previously amended (the “Prior Credit Agreement”).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New Credit Agreement provides for a five-year senior secured revolving credit facility of $125.0 million, which replaces the $75.0 million senior revolving credit facility under the Prior Credit Agreement. The New Credit Agreement may be used for working capital, issuance of letters of credit and other lawful corporate purposes.</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with the Prior Credit Agreement, the New Credit Agreement includes significant covenants and borrowing limitations. Covenants and limitations in the Prior Credit Agreement that did not change and are included in the New Credit Agreement, include but are not limited to, the following:</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of less than 2.50 to 1.00.</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with the Prior Credit Agreement, we will be required to maintain a fixed charge coverage ratio greater than or equal to 1.25 to 1.00. However, the numerator will now consist of Consolidated EBITDA less Capital Expenditures and Distributions.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differs in certain respects from the Prior Credit Agreement including, but not limited to, the following: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previous financial covenant requiring us to maintain an Asset Coverage Ratio greater than or equal to 1.45 to 1.00 has been eliminated.</w:t>
      </w:r>
    </w:p>
    <w:p>
      <w:pPr>
        <w:spacing w:after="0" w:line="113"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previous financial covenant requiring us to maintain a Tangible Net Worth of no less than the sum of $110.0 million, plus the net proceeds of any issuance of equity that occurs after November 30, 2008, plus 50% of all positive quarterly net income after November 30, 2008 was eliminated.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limitations on capital lease and operating lease obligations have been eliminated.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 on asset dispositions (other than inventory and obsolete or unneeded equipment disposed of in the ordinary course of business) has been increased from $7.5 million per 12-month period to $15.0 million per 12-month period.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borrowed under the new credit facility bear interest at LIBOR or an Alternate Base Rate, plus in each case, an additional margin based on the Senior Leverage Ratio. The New Credit Agreement includes additional margin ranges on Alternate Base Rate loans between 0.75% and 1.5% and 1.75% and 2.5% on LIBOR-based loans. The additional margins in the Prior Credit Agreement were between 1.00% and 1.75% on Alternate Base Rate loans and between 2.00% and 2.75% on LIBOR-based loans.</w:t>
      </w:r>
    </w:p>
    <w:p>
      <w:pPr>
        <w:spacing w:after="0" w:line="62" w:lineRule="exact"/>
        <w:rPr>
          <w:rFonts w:ascii="Arial" w:cs="Arial" w:eastAsia="Arial" w:hAnsi="Arial"/>
          <w:sz w:val="18"/>
          <w:szCs w:val="18"/>
          <w:color w:val="auto"/>
        </w:rPr>
      </w:pPr>
    </w:p>
    <w:p>
      <w:pPr>
        <w:ind w:left="900" w:hanging="325"/>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New Credit Agreement also permits us to borrow in Canadian dollars with a sublimit of U.S. $15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commonly known as the “prime rate” and (ii) the CDOR Rate plus 1.0%.</w:t>
      </w:r>
    </w:p>
    <w:p>
      <w:pPr>
        <w:spacing w:after="0" w:line="37"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Unused Credit Facility Fee, which continues to be based on the Senior Leverage Ratio, was reduced from a range of 0.35% to 0.50% under the Prior Credit Agreement to a range of 0.30% to 0.45% under the New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never paid cash dividends on our common stock, and the terms of both our Prior Credit Agreement and our New Credit Agreement limit the amount of cash dividends we can pay. While we currently do not intend to pay cash dividends, any future dividend payments will depend on our financial condition, capital requirements and earnings as well as other factors the Board of Directors may deem relevant.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 The Company purchased 517,088 shares under our stock buyback program at an average price of $9.42 during the first quarter of fiscal 2012. These shares were returned to treasury. The Company purchased an additional 166,507 shares at an average price of $8.73 in early October 2011. We may purchase up to an additional 2,316,405 shares through the end of calendar year 2012 if sufficient liquidity exists and we believe that it is in the best interest of the stockholders.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Service withheld 10,835 shares in the first quarter of fiscal 2012 to satisfy these obligations. These shares were returned to the Company’s pool of treasury shares.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1,898,263 treasury shares as of September 30, 2011 and intends to utilize these treasury shares solely in connection with equity awards under the Company’s stock incentive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Apart from the limited construction opportunities in portions of our Downstream Petroleum market, the overall outlook for our core markets is positive. Demand for our Aboveground Storage Tank construction services remains high and we are expecting strong performance for the remainder of fiscal 2012. Although the first quarter of fiscal 2012 Electrical and Instrumentation revenues were down, we continue to believe that our Electrical and Instrumentation business in the Northeastern U.S. is a strong growth area for the Company. Our refinery maintenance and turnaround performance was good in the first quarter of fiscal 2012 and we expect the business environment to be favorable in the next few quarters. Finally, our newly added engineering capabilities in the bulk materials handling sector should produce additional engineering and construction opportunities in the power generation and raw materials transportation markets as well as entry into the mining and minerals industries both domestically and internationally in the coming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and nature of future revenues and margins from our Construction Services and Repair and Maintenance Services segments;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and other development trends of the industries we 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generate sufficient cash from operations or to raise cash in order to meet our short and long-term capital requirements;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perception of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62" w:lineRule="exact"/>
        <w:rPr>
          <w:sz w:val="20"/>
          <w:szCs w:val="20"/>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2011 and listed from time to time in our filings with the Securities and Exchange Commission;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and power industries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 effects on us or our business operations. We assume no obligation to update publicly, except as required by law, any such forward-looking statements, whether as a result of new information, future events or otherwise.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There have been no material changes in market risk faced by us from those reported in our Annual Report on Form 10-K for the fiscal year ended June 30, 2011, filed with the Securities and Exchange Commission. For more information on market risk, see Part II, Item 7A in our fiscal 2011 Annual Report on Form 10-K.</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2011. Based on the foregoing, our Chief Executive Officer and Chief Financial Officer concluded that our disclosure controls and procedures were effective at the reasonable assurance level at September 30, 2011.</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or financial condition.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Total Number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Part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May Yet Be</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Publicly</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Purchased</w:t>
            </w:r>
          </w:p>
        </w:tc>
      </w:tr>
      <w:tr>
        <w:trPr>
          <w:trHeight w:val="149"/>
        </w:trPr>
        <w:tc>
          <w:tcPr>
            <w:tcW w:w="56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the</w:t>
            </w:r>
          </w:p>
        </w:tc>
      </w:tr>
      <w:tr>
        <w:trPr>
          <w:trHeight w:val="149"/>
        </w:trPr>
        <w:tc>
          <w:tcPr>
            <w:tcW w:w="56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2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Paid</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Plans 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Plans</w:t>
            </w:r>
          </w:p>
        </w:tc>
      </w:tr>
      <w:tr>
        <w:trPr>
          <w:trHeight w:val="161"/>
        </w:trPr>
        <w:tc>
          <w:tcPr>
            <w:tcW w:w="560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Per Share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Programs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or Programs</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July 1 to July 31, 2011</w:t>
            </w: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August 1 to August 31, 2011</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Repurchase Program (A)</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Employee Transactions (B)</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10,611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9.88</w:t>
            </w:r>
          </w:p>
        </w:tc>
        <w:tc>
          <w:tcPr>
            <w:tcW w:w="54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1 to September 30, 2011</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800" w:type="dxa"/>
            <w:vAlign w:val="bottom"/>
          </w:tcPr>
          <w:p>
            <w:pPr>
              <w:ind w:left="240"/>
              <w:spacing w:after="0"/>
              <w:rPr>
                <w:sz w:val="20"/>
                <w:szCs w:val="20"/>
                <w:color w:val="auto"/>
              </w:rPr>
            </w:pPr>
            <w:r>
              <w:rPr>
                <w:rFonts w:ascii="Arial" w:cs="Arial" w:eastAsia="Arial" w:hAnsi="Arial"/>
                <w:sz w:val="18"/>
                <w:szCs w:val="18"/>
                <w:color w:val="auto"/>
                <w:w w:val="82"/>
              </w:rPr>
              <w:t>517,088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5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517,088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2,482,912</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8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w:t>
      </w:r>
    </w:p>
    <w:p>
      <w:pPr>
        <w:ind w:left="460" w:right="42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never paid cash dividends on our common stock, and the terms of both our Prior Credit Agreement and our New Credit Agreement limit the amount of cash dividends we can pay. While we currently do not intend to pay cash dividends, any future dividend payments will depend on our financial condition, capital requirements and earnings as well as other factors the Board of Directors may deem relevant.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80"/>
          </w:cols>
          <w:pgMar w:left="240" w:top="459" w:right="27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w:t>
      </w:r>
    </w:p>
    <w:p>
      <w:pPr>
        <w:spacing w:after="0" w:line="211" w:lineRule="exact"/>
        <w:rPr>
          <w:sz w:val="20"/>
          <w:szCs w:val="20"/>
          <w:color w:val="auto"/>
        </w:rPr>
      </w:pPr>
    </w:p>
    <w:p>
      <w:pPr>
        <w:sectPr>
          <w:pgSz w:w="11900" w:h="16838" w:orient="portrait"/>
          <w:cols w:equalWidth="0" w:num="2">
            <w:col w:w="540" w:space="500"/>
            <w:col w:w="10340"/>
          </w:cols>
          <w:pgMar w:left="240" w:top="459" w:right="27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40"/>
          </w:cols>
          <w:pgMar w:left="240" w:top="459" w:right="279" w:bottom="1440" w:gutter="0" w:footer="0" w:header="0"/>
          <w:type w:val="continuous"/>
        </w:sectPr>
      </w:pPr>
    </w:p>
    <w:p>
      <w:pPr>
        <w:ind w:right="260"/>
        <w:spacing w:after="0" w:line="255" w:lineRule="auto"/>
        <w:rPr>
          <w:sz w:val="20"/>
          <w:szCs w:val="20"/>
          <w:color w:val="auto"/>
        </w:rPr>
      </w:pPr>
      <w:r>
        <w:rPr>
          <w:rFonts w:ascii="Arial" w:cs="Arial" w:eastAsia="Arial" w:hAnsi="Arial"/>
          <w:sz w:val="18"/>
          <w:szCs w:val="18"/>
          <w:color w:val="auto"/>
        </w:rPr>
        <w:t>On November 7, 2011, the Company entered into a Third Amended and Restated Credit Agreement (the “New Credit Agreement”) among the Company as Borrower, JPMorgan Chase Bank, N.A. as Administrative Agent, Swingline lender and Issuing Bank (the “Agent”), J.P. Morgan Securities LLC as Sole Bookrunner and Sole Lead Arranger and the Lenders party thereto. Key provisions of the New Credit Agreement are discussed in Note 5 of Item 1 of Part I of this Quarterly Report on Form 10-Q. A copy of the New Credit Agreement is attached as Exhibit 10 to this Quarterly Report on Form 10-Q and incorporated herein by reference.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Lenders under the New Credit Agreement and/or their affiliates have provided, from time to time, and may continue to provide, commercial banking, investment banking, financial and other services to the Company and/or its affiliates for which the Company and/or its affiliates have paid, and expect to pay, customary fees.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6740" w:type="dxa"/>
            <w:vAlign w:val="bottom"/>
          </w:tcPr>
          <w:p>
            <w:pPr>
              <w:spacing w:after="0"/>
              <w:rPr>
                <w:sz w:val="19"/>
                <w:szCs w:val="19"/>
                <w:color w:val="auto"/>
              </w:rPr>
            </w:pPr>
          </w:p>
        </w:tc>
      </w:tr>
      <w:tr>
        <w:trPr>
          <w:trHeight w:val="527"/>
        </w:trPr>
        <w:tc>
          <w:tcPr>
            <w:tcW w:w="980" w:type="dxa"/>
            <w:vAlign w:val="bottom"/>
          </w:tcPr>
          <w:p>
            <w:pPr>
              <w:spacing w:after="0"/>
              <w:rPr>
                <w:sz w:val="20"/>
                <w:szCs w:val="20"/>
                <w:color w:val="auto"/>
              </w:rPr>
            </w:pPr>
            <w:r>
              <w:rPr>
                <w:rFonts w:ascii="Arial" w:cs="Arial" w:eastAsia="Arial" w:hAnsi="Arial"/>
                <w:sz w:val="18"/>
                <w:szCs w:val="18"/>
                <w:color w:val="auto"/>
              </w:rPr>
              <w:t>Exhibit 10:</w:t>
            </w:r>
          </w:p>
        </w:tc>
        <w:tc>
          <w:tcPr>
            <w:tcW w:w="86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Third Amended and Restated Credit Agreement dated November 7, 2011.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31.1:</w:t>
            </w:r>
          </w:p>
        </w:tc>
        <w:tc>
          <w:tcPr>
            <w:tcW w:w="86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31.2:</w:t>
            </w:r>
          </w:p>
        </w:tc>
        <w:tc>
          <w:tcPr>
            <w:tcW w:w="86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32.1:</w:t>
            </w:r>
          </w:p>
        </w:tc>
        <w:tc>
          <w:tcPr>
            <w:tcW w:w="86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w w:val="88"/>
              </w:rPr>
              <w:t>Certification Pursuant to 18 U.S.C. 1350 (section 906 of Sarbanes-Oxley Act of 2002) – CEO.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32.2:</w:t>
            </w:r>
          </w:p>
        </w:tc>
        <w:tc>
          <w:tcPr>
            <w:tcW w:w="86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w w:val="88"/>
              </w:rPr>
              <w:t>Certification Pursuant to 18 U.S.C. 1350 (section 906 of Sarbanes-Oxley Act of 2002) – CFO.</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67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6740" w:type="dxa"/>
            <w:vAlign w:val="bottom"/>
          </w:tcPr>
          <w:p>
            <w:pPr>
              <w:ind w:left="12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67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67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6740" w:type="dxa"/>
            <w:vAlign w:val="bottom"/>
          </w:tcPr>
          <w:p>
            <w:pPr>
              <w:ind w:left="1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67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ind w:left="37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380"/>
          </w:cols>
          <w:pgMar w:left="240" w:top="459" w:right="2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MATRIX SERVICE COMPANY</w:t>
      </w:r>
    </w:p>
    <w:p>
      <w:pPr>
        <w:spacing w:after="0" w:line="231" w:lineRule="exact"/>
        <w:rPr>
          <w:sz w:val="20"/>
          <w:szCs w:val="20"/>
          <w:color w:val="auto"/>
        </w:rPr>
      </w:pPr>
    </w:p>
    <w:p>
      <w:pPr>
        <w:spacing w:after="0"/>
        <w:tabs>
          <w:tab w:leader="none" w:pos="5820" w:val="left"/>
          <w:tab w:leader="none" w:pos="7800" w:val="left"/>
          <w:tab w:leader="none" w:pos="814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S. C</w:t>
      </w:r>
      <w:r>
        <w:rPr>
          <w:rFonts w:ascii="Arial" w:cs="Arial" w:eastAsia="Arial" w:hAnsi="Arial"/>
          <w:sz w:val="13"/>
          <w:szCs w:val="13"/>
          <w:color w:val="auto"/>
        </w:rPr>
        <w:t>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Kevin S. Cavanah</w:t>
      </w:r>
    </w:p>
    <w:p>
      <w:pPr>
        <w:jc w:val="center"/>
        <w:ind w:left="6300"/>
        <w:spacing w:after="0" w:line="223" w:lineRule="auto"/>
        <w:rPr>
          <w:sz w:val="20"/>
          <w:szCs w:val="20"/>
          <w:color w:val="auto"/>
        </w:rPr>
      </w:pPr>
      <w:r>
        <w:rPr>
          <w:rFonts w:ascii="Arial" w:cs="Arial" w:eastAsia="Arial" w:hAnsi="Arial"/>
          <w:sz w:val="14"/>
          <w:szCs w:val="14"/>
          <w:b w:val="1"/>
          <w:bCs w:val="1"/>
          <w:color w:val="auto"/>
        </w:rPr>
        <w:t>Vice President and</w:t>
      </w:r>
    </w:p>
    <w:p>
      <w:pPr>
        <w:jc w:val="center"/>
        <w:ind w:left="6300"/>
        <w:spacing w:after="0" w:line="222" w:lineRule="auto"/>
        <w:rPr>
          <w:sz w:val="20"/>
          <w:szCs w:val="20"/>
          <w:color w:val="auto"/>
        </w:rPr>
      </w:pPr>
      <w:r>
        <w:rPr>
          <w:rFonts w:ascii="Arial" w:cs="Arial" w:eastAsia="Arial" w:hAnsi="Arial"/>
          <w:sz w:val="14"/>
          <w:szCs w:val="14"/>
          <w:b w:val="1"/>
          <w:bCs w:val="1"/>
          <w:color w:val="auto"/>
        </w:rPr>
        <w:t>Chief Financial Officer signing on behalf of the registrant and</w:t>
      </w:r>
    </w:p>
    <w:p>
      <w:pPr>
        <w:jc w:val="center"/>
        <w:ind w:left="63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459" w:right="7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180" w:type="dxa"/>
            <w:vAlign w:val="bottom"/>
          </w:tcPr>
          <w:p>
            <w:pPr>
              <w:spacing w:after="0"/>
              <w:rPr>
                <w:sz w:val="17"/>
                <w:szCs w:val="17"/>
                <w:color w:val="auto"/>
              </w:rPr>
            </w:pPr>
          </w:p>
        </w:tc>
      </w:tr>
      <w:tr>
        <w:trPr>
          <w:trHeight w:val="545"/>
        </w:trPr>
        <w:tc>
          <w:tcPr>
            <w:tcW w:w="1620" w:type="dxa"/>
            <w:vAlign w:val="bottom"/>
          </w:tcPr>
          <w:p>
            <w:pPr>
              <w:spacing w:after="0"/>
              <w:rPr>
                <w:sz w:val="20"/>
                <w:szCs w:val="20"/>
                <w:color w:val="auto"/>
              </w:rPr>
            </w:pPr>
            <w:r>
              <w:rPr>
                <w:rFonts w:ascii="Arial" w:cs="Arial" w:eastAsia="Arial" w:hAnsi="Arial"/>
                <w:sz w:val="18"/>
                <w:szCs w:val="18"/>
                <w:color w:val="auto"/>
              </w:rPr>
              <w:t>Exhibit 10:</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Third Amended and Restated Credit Agreement dated November 7, 2011.</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w w:val="88"/>
              </w:rPr>
              <w:t>Certification Pursuant to 18 U.S.C. 1350 (section 906 of Sarbanes-Oxley Act of 2002) – CEO.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w w:val="88"/>
              </w:rPr>
              <w:t>Certification Pursuant to 18 U.S.C. 1350 (section 906 of Sarbanes-Oxley Act of 2002) – CFO.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69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620" w:type="dxa"/>
            <w:vAlign w:val="bottom"/>
          </w:tcPr>
          <w:p>
            <w:pPr>
              <w:spacing w:after="0"/>
              <w:rPr>
                <w:sz w:val="24"/>
                <w:szCs w:val="24"/>
                <w:color w:val="auto"/>
              </w:rPr>
            </w:pPr>
          </w:p>
        </w:tc>
        <w:tc>
          <w:tcPr>
            <w:tcW w:w="4780" w:type="dxa"/>
            <w:vAlign w:val="bottom"/>
            <w:gridSpan w:val="2"/>
          </w:tcPr>
          <w:p>
            <w:pPr>
              <w:ind w:left="3940"/>
              <w:spacing w:after="0"/>
              <w:rPr>
                <w:sz w:val="20"/>
                <w:szCs w:val="20"/>
                <w:color w:val="auto"/>
              </w:rPr>
            </w:pPr>
            <w:r>
              <w:rPr>
                <w:rFonts w:ascii="Arial" w:cs="Arial" w:eastAsia="Arial" w:hAnsi="Arial"/>
                <w:sz w:val="18"/>
                <w:szCs w:val="18"/>
                <w:color w:val="auto"/>
              </w:rPr>
              <w:t>-29-</w:t>
            </w:r>
          </w:p>
        </w:tc>
        <w:tc>
          <w:tcPr>
            <w:tcW w:w="21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276860</wp:posOffset>
            </wp:positionV>
            <wp:extent cx="1500505" cy="31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7, 2011</w:t>
      </w:r>
    </w:p>
    <w:p>
      <w:pPr>
        <w:spacing w:after="0" w:line="15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among</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a Borrower, along with the Canadian Borrowers</w:t>
      </w:r>
    </w:p>
    <w:p>
      <w:pPr>
        <w:spacing w:after="0" w:line="15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as Administrative Agent, Swingline Lender and Issuing Bank</w:t>
      </w:r>
    </w:p>
    <w:p>
      <w:pPr>
        <w:spacing w:after="0" w:line="15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party hereto</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as Syndication Agent</w:t>
      </w:r>
    </w:p>
    <w:p>
      <w:pPr>
        <w:spacing w:after="0" w:line="15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WELLS FARGO BANK, N.A.,</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Documentation Agent</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J.P. MORGAN SECURITIES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92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220" w:type="dxa"/>
            <w:vAlign w:val="bottom"/>
          </w:tcPr>
          <w:p>
            <w:pPr>
              <w:spacing w:after="0"/>
              <w:rPr>
                <w:sz w:val="20"/>
                <w:szCs w:val="20"/>
                <w:color w:val="auto"/>
              </w:rPr>
            </w:pPr>
            <w:r>
              <w:rPr>
                <w:rFonts w:ascii="Arial" w:cs="Arial" w:eastAsia="Arial" w:hAnsi="Arial"/>
                <w:sz w:val="18"/>
                <w:szCs w:val="18"/>
                <w:color w:val="auto"/>
              </w:rPr>
              <w:t>ARTICLE I</w:t>
            </w:r>
          </w:p>
        </w:tc>
        <w:tc>
          <w:tcPr>
            <w:tcW w:w="9840" w:type="dxa"/>
            <w:vAlign w:val="bottom"/>
            <w:gridSpan w:val="2"/>
          </w:tcPr>
          <w:p>
            <w:pPr>
              <w:ind w:left="20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1.01.</w:t>
            </w:r>
          </w:p>
        </w:tc>
        <w:tc>
          <w:tcPr>
            <w:tcW w:w="922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1.02.</w:t>
            </w:r>
          </w:p>
        </w:tc>
        <w:tc>
          <w:tcPr>
            <w:tcW w:w="9220" w:type="dxa"/>
            <w:vAlign w:val="bottom"/>
          </w:tcPr>
          <w:p>
            <w:pPr>
              <w:ind w:left="240"/>
              <w:spacing w:after="0"/>
              <w:rPr>
                <w:sz w:val="20"/>
                <w:szCs w:val="20"/>
                <w:color w:val="auto"/>
              </w:rPr>
            </w:pPr>
            <w:r>
              <w:rPr>
                <w:rFonts w:ascii="Arial" w:cs="Arial" w:eastAsia="Arial" w:hAnsi="Arial"/>
                <w:sz w:val="18"/>
                <w:szCs w:val="18"/>
                <w:color w:val="auto"/>
              </w:rPr>
              <w:t>Classification of Loans and Borrowings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1.03.</w:t>
            </w:r>
          </w:p>
        </w:tc>
        <w:tc>
          <w:tcPr>
            <w:tcW w:w="9220" w:type="dxa"/>
            <w:vAlign w:val="bottom"/>
          </w:tcPr>
          <w:p>
            <w:pPr>
              <w:ind w:left="240"/>
              <w:spacing w:after="0"/>
              <w:rPr>
                <w:sz w:val="20"/>
                <w:szCs w:val="20"/>
                <w:color w:val="auto"/>
              </w:rPr>
            </w:pPr>
            <w:r>
              <w:rPr>
                <w:rFonts w:ascii="Arial" w:cs="Arial" w:eastAsia="Arial" w:hAnsi="Arial"/>
                <w:sz w:val="18"/>
                <w:szCs w:val="18"/>
                <w:color w:val="auto"/>
              </w:rPr>
              <w:t>Terms Generally</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1.04.</w:t>
            </w:r>
          </w:p>
        </w:tc>
        <w:tc>
          <w:tcPr>
            <w:tcW w:w="9220" w:type="dxa"/>
            <w:vAlign w:val="bottom"/>
          </w:tcPr>
          <w:p>
            <w:pPr>
              <w:ind w:left="240"/>
              <w:spacing w:after="0"/>
              <w:rPr>
                <w:sz w:val="20"/>
                <w:szCs w:val="20"/>
                <w:color w:val="auto"/>
              </w:rPr>
            </w:pPr>
            <w:r>
              <w:rPr>
                <w:rFonts w:ascii="Arial" w:cs="Arial" w:eastAsia="Arial" w:hAnsi="Arial"/>
                <w:sz w:val="18"/>
                <w:szCs w:val="18"/>
                <w:color w:val="auto"/>
              </w:rPr>
              <w:t>Accounting Terms; GAAP</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1.05.</w:t>
            </w:r>
          </w:p>
        </w:tc>
        <w:tc>
          <w:tcPr>
            <w:tcW w:w="9220" w:type="dxa"/>
            <w:vAlign w:val="bottom"/>
          </w:tcPr>
          <w:p>
            <w:pPr>
              <w:ind w:left="240"/>
              <w:spacing w:after="0"/>
              <w:rPr>
                <w:sz w:val="20"/>
                <w:szCs w:val="20"/>
                <w:color w:val="auto"/>
              </w:rPr>
            </w:pPr>
            <w:r>
              <w:rPr>
                <w:rFonts w:ascii="Arial" w:cs="Arial" w:eastAsia="Arial" w:hAnsi="Arial"/>
                <w:sz w:val="18"/>
                <w:szCs w:val="18"/>
                <w:color w:val="auto"/>
              </w:rPr>
              <w:t>Currency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II.</w:t>
            </w:r>
          </w:p>
        </w:tc>
        <w:tc>
          <w:tcPr>
            <w:tcW w:w="9840" w:type="dxa"/>
            <w:vAlign w:val="bottom"/>
            <w:gridSpan w:val="2"/>
          </w:tcPr>
          <w:p>
            <w:pPr>
              <w:ind w:left="200"/>
              <w:spacing w:after="0"/>
              <w:rPr>
                <w:sz w:val="20"/>
                <w:szCs w:val="20"/>
                <w:color w:val="auto"/>
              </w:rPr>
            </w:pPr>
            <w:r>
              <w:rPr>
                <w:rFonts w:ascii="Arial" w:cs="Arial" w:eastAsia="Arial" w:hAnsi="Arial"/>
                <w:sz w:val="18"/>
                <w:szCs w:val="18"/>
                <w:color w:val="auto"/>
              </w:rPr>
              <w:t>The Credits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2.01.</w:t>
            </w:r>
          </w:p>
        </w:tc>
        <w:tc>
          <w:tcPr>
            <w:tcW w:w="9220" w:type="dxa"/>
            <w:vAlign w:val="bottom"/>
          </w:tcPr>
          <w:p>
            <w:pPr>
              <w:ind w:left="240"/>
              <w:spacing w:after="0"/>
              <w:rPr>
                <w:sz w:val="20"/>
                <w:szCs w:val="20"/>
                <w:color w:val="auto"/>
              </w:rPr>
            </w:pPr>
            <w:r>
              <w:rPr>
                <w:rFonts w:ascii="Arial" w:cs="Arial" w:eastAsia="Arial" w:hAnsi="Arial"/>
                <w:sz w:val="18"/>
                <w:szCs w:val="18"/>
                <w:color w:val="auto"/>
              </w:rPr>
              <w:t>Loans and Revolving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2.02.</w:t>
            </w:r>
          </w:p>
        </w:tc>
        <w:tc>
          <w:tcPr>
            <w:tcW w:w="9220" w:type="dxa"/>
            <w:vAlign w:val="bottom"/>
          </w:tcPr>
          <w:p>
            <w:pPr>
              <w:ind w:left="240"/>
              <w:spacing w:after="0"/>
              <w:rPr>
                <w:sz w:val="20"/>
                <w:szCs w:val="20"/>
                <w:color w:val="auto"/>
              </w:rPr>
            </w:pPr>
            <w:r>
              <w:rPr>
                <w:rFonts w:ascii="Arial" w:cs="Arial" w:eastAsia="Arial" w:hAnsi="Arial"/>
                <w:sz w:val="18"/>
                <w:szCs w:val="18"/>
                <w:color w:val="auto"/>
              </w:rPr>
              <w:t>Loans and Borrowings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2.03.</w:t>
            </w:r>
          </w:p>
        </w:tc>
        <w:tc>
          <w:tcPr>
            <w:tcW w:w="9220" w:type="dxa"/>
            <w:vAlign w:val="bottom"/>
          </w:tcPr>
          <w:p>
            <w:pPr>
              <w:ind w:left="240"/>
              <w:spacing w:after="0"/>
              <w:rPr>
                <w:sz w:val="20"/>
                <w:szCs w:val="20"/>
                <w:color w:val="auto"/>
              </w:rPr>
            </w:pPr>
            <w:r>
              <w:rPr>
                <w:rFonts w:ascii="Arial" w:cs="Arial" w:eastAsia="Arial" w:hAnsi="Arial"/>
                <w:sz w:val="18"/>
                <w:szCs w:val="18"/>
                <w:color w:val="auto"/>
              </w:rPr>
              <w:t>Requests for Revolving Borrowings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2.04.</w:t>
            </w:r>
          </w:p>
        </w:tc>
        <w:tc>
          <w:tcPr>
            <w:tcW w:w="9220" w:type="dxa"/>
            <w:vAlign w:val="bottom"/>
          </w:tcPr>
          <w:p>
            <w:pPr>
              <w:ind w:left="240"/>
              <w:spacing w:after="0"/>
              <w:rPr>
                <w:sz w:val="20"/>
                <w:szCs w:val="20"/>
                <w:color w:val="auto"/>
              </w:rPr>
            </w:pPr>
            <w:r>
              <w:rPr>
                <w:rFonts w:ascii="Arial" w:cs="Arial" w:eastAsia="Arial" w:hAnsi="Arial"/>
                <w:sz w:val="18"/>
                <w:szCs w:val="18"/>
                <w:color w:val="auto"/>
              </w:rPr>
              <w:t>Increase in Aggregate Revolving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2.05.</w:t>
            </w:r>
          </w:p>
        </w:tc>
        <w:tc>
          <w:tcPr>
            <w:tcW w:w="9220" w:type="dxa"/>
            <w:vAlign w:val="bottom"/>
          </w:tcPr>
          <w:p>
            <w:pPr>
              <w:ind w:left="240"/>
              <w:spacing w:after="0"/>
              <w:rPr>
                <w:sz w:val="20"/>
                <w:szCs w:val="20"/>
                <w:color w:val="auto"/>
              </w:rPr>
            </w:pPr>
            <w:r>
              <w:rPr>
                <w:rFonts w:ascii="Arial" w:cs="Arial" w:eastAsia="Arial" w:hAnsi="Arial"/>
                <w:sz w:val="18"/>
                <w:szCs w:val="18"/>
                <w:color w:val="auto"/>
              </w:rPr>
              <w:t>Swingline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2.06.</w:t>
            </w:r>
          </w:p>
        </w:tc>
        <w:tc>
          <w:tcPr>
            <w:tcW w:w="9220" w:type="dxa"/>
            <w:vAlign w:val="bottom"/>
          </w:tcPr>
          <w:p>
            <w:pPr>
              <w:ind w:left="240"/>
              <w:spacing w:after="0"/>
              <w:rPr>
                <w:sz w:val="20"/>
                <w:szCs w:val="20"/>
                <w:color w:val="auto"/>
              </w:rPr>
            </w:pPr>
            <w:r>
              <w:rPr>
                <w:rFonts w:ascii="Arial" w:cs="Arial" w:eastAsia="Arial" w:hAnsi="Arial"/>
                <w:sz w:val="18"/>
                <w:szCs w:val="18"/>
                <w:color w:val="auto"/>
              </w:rPr>
              <w:t>Letters of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2.07.</w:t>
            </w:r>
          </w:p>
        </w:tc>
        <w:tc>
          <w:tcPr>
            <w:tcW w:w="9220" w:type="dxa"/>
            <w:vAlign w:val="bottom"/>
          </w:tcPr>
          <w:p>
            <w:pPr>
              <w:ind w:left="240"/>
              <w:spacing w:after="0"/>
              <w:rPr>
                <w:sz w:val="20"/>
                <w:szCs w:val="20"/>
                <w:color w:val="auto"/>
              </w:rPr>
            </w:pPr>
            <w:r>
              <w:rPr>
                <w:rFonts w:ascii="Arial" w:cs="Arial" w:eastAsia="Arial" w:hAnsi="Arial"/>
                <w:sz w:val="18"/>
                <w:szCs w:val="18"/>
                <w:color w:val="auto"/>
              </w:rPr>
              <w:t>Funding of Borrowings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2.08.</w:t>
            </w:r>
          </w:p>
        </w:tc>
        <w:tc>
          <w:tcPr>
            <w:tcW w:w="9220" w:type="dxa"/>
            <w:vAlign w:val="bottom"/>
          </w:tcPr>
          <w:p>
            <w:pPr>
              <w:ind w:left="240"/>
              <w:spacing w:after="0"/>
              <w:rPr>
                <w:sz w:val="20"/>
                <w:szCs w:val="20"/>
                <w:color w:val="auto"/>
              </w:rPr>
            </w:pPr>
            <w:r>
              <w:rPr>
                <w:rFonts w:ascii="Arial" w:cs="Arial" w:eastAsia="Arial" w:hAnsi="Arial"/>
                <w:sz w:val="18"/>
                <w:szCs w:val="18"/>
                <w:color w:val="auto"/>
              </w:rPr>
              <w:t>Interest Elections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2.09.</w:t>
            </w:r>
          </w:p>
        </w:tc>
        <w:tc>
          <w:tcPr>
            <w:tcW w:w="9220" w:type="dxa"/>
            <w:vAlign w:val="bottom"/>
          </w:tcPr>
          <w:p>
            <w:pPr>
              <w:ind w:left="240"/>
              <w:spacing w:after="0"/>
              <w:rPr>
                <w:sz w:val="20"/>
                <w:szCs w:val="20"/>
                <w:color w:val="auto"/>
              </w:rPr>
            </w:pPr>
            <w:r>
              <w:rPr>
                <w:rFonts w:ascii="Arial" w:cs="Arial" w:eastAsia="Arial" w:hAnsi="Arial"/>
                <w:sz w:val="18"/>
                <w:szCs w:val="18"/>
                <w:color w:val="auto"/>
              </w:rPr>
              <w:t>Termination and Reduction of Revolving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2.10.</w:t>
            </w:r>
          </w:p>
        </w:tc>
        <w:tc>
          <w:tcPr>
            <w:tcW w:w="9220" w:type="dxa"/>
            <w:vAlign w:val="bottom"/>
          </w:tcPr>
          <w:p>
            <w:pPr>
              <w:ind w:left="240"/>
              <w:spacing w:after="0"/>
              <w:rPr>
                <w:sz w:val="20"/>
                <w:szCs w:val="20"/>
                <w:color w:val="auto"/>
              </w:rPr>
            </w:pPr>
            <w:r>
              <w:rPr>
                <w:rFonts w:ascii="Arial" w:cs="Arial" w:eastAsia="Arial" w:hAnsi="Arial"/>
                <w:sz w:val="18"/>
                <w:szCs w:val="18"/>
                <w:color w:val="auto"/>
              </w:rPr>
              <w:t>Repayment of Loans; Evidence of Debt</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2.11.</w:t>
            </w:r>
          </w:p>
        </w:tc>
        <w:tc>
          <w:tcPr>
            <w:tcW w:w="9220" w:type="dxa"/>
            <w:vAlign w:val="bottom"/>
          </w:tcPr>
          <w:p>
            <w:pPr>
              <w:ind w:left="240"/>
              <w:spacing w:after="0"/>
              <w:rPr>
                <w:sz w:val="20"/>
                <w:szCs w:val="20"/>
                <w:color w:val="auto"/>
              </w:rPr>
            </w:pPr>
            <w:r>
              <w:rPr>
                <w:rFonts w:ascii="Arial" w:cs="Arial" w:eastAsia="Arial" w:hAnsi="Arial"/>
                <w:sz w:val="18"/>
                <w:szCs w:val="18"/>
                <w:color w:val="auto"/>
              </w:rPr>
              <w:t>Prepayment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2.12.</w:t>
            </w:r>
          </w:p>
        </w:tc>
        <w:tc>
          <w:tcPr>
            <w:tcW w:w="9220" w:type="dxa"/>
            <w:vAlign w:val="bottom"/>
          </w:tcPr>
          <w:p>
            <w:pPr>
              <w:ind w:left="24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2.13.</w:t>
            </w:r>
          </w:p>
        </w:tc>
        <w:tc>
          <w:tcPr>
            <w:tcW w:w="9220" w:type="dxa"/>
            <w:vAlign w:val="bottom"/>
          </w:tcPr>
          <w:p>
            <w:pPr>
              <w:ind w:left="24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2.14.</w:t>
            </w:r>
          </w:p>
        </w:tc>
        <w:tc>
          <w:tcPr>
            <w:tcW w:w="9220" w:type="dxa"/>
            <w:vAlign w:val="bottom"/>
          </w:tcPr>
          <w:p>
            <w:pPr>
              <w:ind w:left="240"/>
              <w:spacing w:after="0"/>
              <w:rPr>
                <w:sz w:val="20"/>
                <w:szCs w:val="20"/>
                <w:color w:val="auto"/>
              </w:rPr>
            </w:pPr>
            <w:r>
              <w:rPr>
                <w:rFonts w:ascii="Arial" w:cs="Arial" w:eastAsia="Arial" w:hAnsi="Arial"/>
                <w:sz w:val="18"/>
                <w:szCs w:val="18"/>
                <w:color w:val="auto"/>
              </w:rPr>
              <w:t>Alternate Rate of 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2.15.</w:t>
            </w:r>
          </w:p>
        </w:tc>
        <w:tc>
          <w:tcPr>
            <w:tcW w:w="9220" w:type="dxa"/>
            <w:vAlign w:val="bottom"/>
          </w:tcPr>
          <w:p>
            <w:pPr>
              <w:ind w:left="240"/>
              <w:spacing w:after="0"/>
              <w:rPr>
                <w:sz w:val="20"/>
                <w:szCs w:val="20"/>
                <w:color w:val="auto"/>
              </w:rPr>
            </w:pPr>
            <w:r>
              <w:rPr>
                <w:rFonts w:ascii="Arial" w:cs="Arial" w:eastAsia="Arial" w:hAnsi="Arial"/>
                <w:sz w:val="18"/>
                <w:szCs w:val="18"/>
                <w:color w:val="auto"/>
              </w:rPr>
              <w:t>Increased Costs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2.16.</w:t>
            </w:r>
          </w:p>
        </w:tc>
        <w:tc>
          <w:tcPr>
            <w:tcW w:w="9220" w:type="dxa"/>
            <w:vAlign w:val="bottom"/>
          </w:tcPr>
          <w:p>
            <w:pPr>
              <w:ind w:left="240"/>
              <w:spacing w:after="0"/>
              <w:rPr>
                <w:sz w:val="20"/>
                <w:szCs w:val="20"/>
                <w:color w:val="auto"/>
              </w:rPr>
            </w:pPr>
            <w:r>
              <w:rPr>
                <w:rFonts w:ascii="Arial" w:cs="Arial" w:eastAsia="Arial" w:hAnsi="Arial"/>
                <w:sz w:val="18"/>
                <w:szCs w:val="18"/>
                <w:color w:val="auto"/>
              </w:rPr>
              <w:t>Break Funding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2.17.</w:t>
            </w:r>
          </w:p>
        </w:tc>
        <w:tc>
          <w:tcPr>
            <w:tcW w:w="9220" w:type="dxa"/>
            <w:vAlign w:val="bottom"/>
          </w:tcPr>
          <w:p>
            <w:pPr>
              <w:ind w:left="24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2.18.</w:t>
            </w:r>
          </w:p>
        </w:tc>
        <w:tc>
          <w:tcPr>
            <w:tcW w:w="9220" w:type="dxa"/>
            <w:vAlign w:val="bottom"/>
          </w:tcPr>
          <w:p>
            <w:pPr>
              <w:ind w:left="240"/>
              <w:spacing w:after="0"/>
              <w:rPr>
                <w:sz w:val="20"/>
                <w:szCs w:val="20"/>
                <w:color w:val="auto"/>
              </w:rPr>
            </w:pPr>
            <w:r>
              <w:rPr>
                <w:rFonts w:ascii="Arial" w:cs="Arial" w:eastAsia="Arial" w:hAnsi="Arial"/>
                <w:sz w:val="18"/>
                <w:szCs w:val="18"/>
                <w:color w:val="auto"/>
              </w:rPr>
              <w:t>Payments Generally; Pro Rata Treatment; Sharing of Set-offs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2.19.</w:t>
            </w:r>
          </w:p>
        </w:tc>
        <w:tc>
          <w:tcPr>
            <w:tcW w:w="922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2.20.</w:t>
            </w:r>
          </w:p>
        </w:tc>
        <w:tc>
          <w:tcPr>
            <w:tcW w:w="922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984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3.01.</w:t>
            </w:r>
          </w:p>
        </w:tc>
        <w:tc>
          <w:tcPr>
            <w:tcW w:w="9220" w:type="dxa"/>
            <w:vAlign w:val="bottom"/>
          </w:tcPr>
          <w:p>
            <w:pPr>
              <w:ind w:left="240"/>
              <w:spacing w:after="0"/>
              <w:rPr>
                <w:sz w:val="20"/>
                <w:szCs w:val="20"/>
                <w:color w:val="auto"/>
              </w:rPr>
            </w:pPr>
            <w:r>
              <w:rPr>
                <w:rFonts w:ascii="Arial" w:cs="Arial" w:eastAsia="Arial" w:hAnsi="Arial"/>
                <w:sz w:val="18"/>
                <w:szCs w:val="18"/>
                <w:color w:val="auto"/>
              </w:rPr>
              <w:t>Organization; Powers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3.02.</w:t>
            </w:r>
          </w:p>
        </w:tc>
        <w:tc>
          <w:tcPr>
            <w:tcW w:w="9220" w:type="dxa"/>
            <w:vAlign w:val="bottom"/>
          </w:tcPr>
          <w:p>
            <w:pPr>
              <w:ind w:left="240"/>
              <w:spacing w:after="0"/>
              <w:rPr>
                <w:sz w:val="20"/>
                <w:szCs w:val="20"/>
                <w:color w:val="auto"/>
              </w:rPr>
            </w:pPr>
            <w:r>
              <w:rPr>
                <w:rFonts w:ascii="Arial" w:cs="Arial" w:eastAsia="Arial" w:hAnsi="Arial"/>
                <w:sz w:val="18"/>
                <w:szCs w:val="18"/>
                <w:color w:val="auto"/>
              </w:rPr>
              <w:t>Authorization; Enforceability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3.03.</w:t>
            </w:r>
          </w:p>
        </w:tc>
        <w:tc>
          <w:tcPr>
            <w:tcW w:w="9220" w:type="dxa"/>
            <w:vAlign w:val="bottom"/>
          </w:tcPr>
          <w:p>
            <w:pPr>
              <w:ind w:left="240"/>
              <w:spacing w:after="0"/>
              <w:rPr>
                <w:sz w:val="20"/>
                <w:szCs w:val="20"/>
                <w:color w:val="auto"/>
              </w:rPr>
            </w:pPr>
            <w:r>
              <w:rPr>
                <w:rFonts w:ascii="Arial" w:cs="Arial" w:eastAsia="Arial" w:hAnsi="Arial"/>
                <w:sz w:val="18"/>
                <w:szCs w:val="18"/>
                <w:color w:val="auto"/>
              </w:rPr>
              <w:t>Governmental Approvals; No Conflicts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3.04.</w:t>
            </w:r>
          </w:p>
        </w:tc>
        <w:tc>
          <w:tcPr>
            <w:tcW w:w="9220" w:type="dxa"/>
            <w:vAlign w:val="bottom"/>
          </w:tcPr>
          <w:p>
            <w:pPr>
              <w:ind w:left="240"/>
              <w:spacing w:after="0"/>
              <w:rPr>
                <w:sz w:val="20"/>
                <w:szCs w:val="20"/>
                <w:color w:val="auto"/>
              </w:rPr>
            </w:pPr>
            <w:r>
              <w:rPr>
                <w:rFonts w:ascii="Arial" w:cs="Arial" w:eastAsia="Arial" w:hAnsi="Arial"/>
                <w:sz w:val="18"/>
                <w:szCs w:val="18"/>
                <w:color w:val="auto"/>
              </w:rPr>
              <w:t>Financial Condition; No Material Adverse Change; Absence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3.05.</w:t>
            </w:r>
          </w:p>
        </w:tc>
        <w:tc>
          <w:tcPr>
            <w:tcW w:w="9220" w:type="dxa"/>
            <w:vAlign w:val="bottom"/>
          </w:tcPr>
          <w:p>
            <w:pPr>
              <w:ind w:left="240"/>
              <w:spacing w:after="0"/>
              <w:rPr>
                <w:sz w:val="20"/>
                <w:szCs w:val="20"/>
                <w:color w:val="auto"/>
              </w:rPr>
            </w:pPr>
            <w:r>
              <w:rPr>
                <w:rFonts w:ascii="Arial" w:cs="Arial" w:eastAsia="Arial" w:hAnsi="Arial"/>
                <w:sz w:val="18"/>
                <w:szCs w:val="18"/>
                <w:color w:val="auto"/>
              </w:rPr>
              <w:t>Properties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3.06.</w:t>
            </w:r>
          </w:p>
        </w:tc>
        <w:tc>
          <w:tcPr>
            <w:tcW w:w="9220" w:type="dxa"/>
            <w:vAlign w:val="bottom"/>
          </w:tcPr>
          <w:p>
            <w:pPr>
              <w:ind w:left="240"/>
              <w:spacing w:after="0"/>
              <w:rPr>
                <w:sz w:val="20"/>
                <w:szCs w:val="20"/>
                <w:color w:val="auto"/>
              </w:rPr>
            </w:pPr>
            <w:r>
              <w:rPr>
                <w:rFonts w:ascii="Arial" w:cs="Arial" w:eastAsia="Arial" w:hAnsi="Arial"/>
                <w:sz w:val="18"/>
                <w:szCs w:val="18"/>
                <w:color w:val="auto"/>
              </w:rPr>
              <w:t>Litigation and Environmental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3.07.</w:t>
            </w:r>
          </w:p>
        </w:tc>
        <w:tc>
          <w:tcPr>
            <w:tcW w:w="9220" w:type="dxa"/>
            <w:vAlign w:val="bottom"/>
          </w:tcPr>
          <w:p>
            <w:pPr>
              <w:ind w:left="240"/>
              <w:spacing w:after="0"/>
              <w:rPr>
                <w:sz w:val="20"/>
                <w:szCs w:val="20"/>
                <w:color w:val="auto"/>
              </w:rPr>
            </w:pPr>
            <w:r>
              <w:rPr>
                <w:rFonts w:ascii="Arial" w:cs="Arial" w:eastAsia="Arial" w:hAnsi="Arial"/>
                <w:sz w:val="18"/>
                <w:szCs w:val="18"/>
                <w:color w:val="auto"/>
              </w:rPr>
              <w:t>Compliance with Laws and Agreements;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3.08.</w:t>
            </w:r>
          </w:p>
        </w:tc>
        <w:tc>
          <w:tcPr>
            <w:tcW w:w="9220" w:type="dxa"/>
            <w:vAlign w:val="bottom"/>
          </w:tcPr>
          <w:p>
            <w:pPr>
              <w:ind w:left="240"/>
              <w:spacing w:after="0"/>
              <w:rPr>
                <w:sz w:val="20"/>
                <w:szCs w:val="20"/>
                <w:color w:val="auto"/>
              </w:rPr>
            </w:pPr>
            <w:r>
              <w:rPr>
                <w:rFonts w:ascii="Arial" w:cs="Arial" w:eastAsia="Arial" w:hAnsi="Arial"/>
                <w:sz w:val="18"/>
                <w:szCs w:val="18"/>
                <w:color w:val="auto"/>
              </w:rPr>
              <w:t>Investment and Holding Company Status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20"/>
          </w:cols>
          <w:pgMar w:left="240" w:top="280" w:right="3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tc>
        <w:tc>
          <w:tcPr>
            <w:tcW w:w="692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73"/>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3.09.</w:t>
            </w:r>
          </w:p>
        </w:tc>
        <w:tc>
          <w:tcPr>
            <w:tcW w:w="6920" w:type="dxa"/>
            <w:vAlign w:val="bottom"/>
          </w:tcPr>
          <w:p>
            <w:pPr>
              <w:ind w:left="24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3.10.</w:t>
            </w:r>
          </w:p>
        </w:tc>
        <w:tc>
          <w:tcPr>
            <w:tcW w:w="6920" w:type="dxa"/>
            <w:vAlign w:val="bottom"/>
          </w:tcPr>
          <w:p>
            <w:pPr>
              <w:ind w:left="240"/>
              <w:spacing w:after="0"/>
              <w:rPr>
                <w:sz w:val="20"/>
                <w:szCs w:val="20"/>
                <w:color w:val="auto"/>
              </w:rPr>
            </w:pPr>
            <w:r>
              <w:rPr>
                <w:rFonts w:ascii="Arial" w:cs="Arial" w:eastAsia="Arial" w:hAnsi="Arial"/>
                <w:sz w:val="18"/>
                <w:szCs w:val="18"/>
                <w:color w:val="auto"/>
              </w:rPr>
              <w:t>ERISA; Canadian Pension and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3.11.</w:t>
            </w:r>
          </w:p>
        </w:tc>
        <w:tc>
          <w:tcPr>
            <w:tcW w:w="6920" w:type="dxa"/>
            <w:vAlign w:val="bottom"/>
          </w:tcPr>
          <w:p>
            <w:pPr>
              <w:ind w:left="240"/>
              <w:spacing w:after="0"/>
              <w:rPr>
                <w:sz w:val="20"/>
                <w:szCs w:val="20"/>
                <w:color w:val="auto"/>
              </w:rPr>
            </w:pPr>
            <w:r>
              <w:rPr>
                <w:rFonts w:ascii="Arial" w:cs="Arial" w:eastAsia="Arial" w:hAnsi="Arial"/>
                <w:sz w:val="18"/>
                <w:szCs w:val="18"/>
                <w:color w:val="auto"/>
              </w:rPr>
              <w:t>Plan Assets; Prohibited Transactions; ERISA</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3.12.</w:t>
            </w:r>
          </w:p>
        </w:tc>
        <w:tc>
          <w:tcPr>
            <w:tcW w:w="69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3.13.</w:t>
            </w:r>
          </w:p>
        </w:tc>
        <w:tc>
          <w:tcPr>
            <w:tcW w:w="692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3.14.</w:t>
            </w:r>
          </w:p>
        </w:tc>
        <w:tc>
          <w:tcPr>
            <w:tcW w:w="6920" w:type="dxa"/>
            <w:vAlign w:val="bottom"/>
          </w:tcPr>
          <w:p>
            <w:pPr>
              <w:ind w:left="240"/>
              <w:spacing w:after="0"/>
              <w:rPr>
                <w:sz w:val="20"/>
                <w:szCs w:val="20"/>
                <w:color w:val="auto"/>
              </w:rPr>
            </w:pPr>
            <w:r>
              <w:rPr>
                <w:rFonts w:ascii="Arial" w:cs="Arial" w:eastAsia="Arial" w:hAnsi="Arial"/>
                <w:sz w:val="18"/>
                <w:szCs w:val="18"/>
                <w:color w:val="auto"/>
              </w:rPr>
              <w:t>Material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3.15.</w:t>
            </w:r>
          </w:p>
        </w:tc>
        <w:tc>
          <w:tcPr>
            <w:tcW w:w="6920" w:type="dxa"/>
            <w:vAlign w:val="bottom"/>
          </w:tcPr>
          <w:p>
            <w:pPr>
              <w:ind w:left="240"/>
              <w:spacing w:after="0"/>
              <w:rPr>
                <w:sz w:val="20"/>
                <w:szCs w:val="20"/>
                <w:color w:val="auto"/>
              </w:rPr>
            </w:pPr>
            <w:r>
              <w:rPr>
                <w:rFonts w:ascii="Arial" w:cs="Arial" w:eastAsia="Arial" w:hAnsi="Arial"/>
                <w:sz w:val="18"/>
                <w:szCs w:val="18"/>
                <w:color w:val="auto"/>
              </w:rPr>
              <w:t>Post-Retirement Benefits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3.16.</w:t>
            </w:r>
          </w:p>
        </w:tc>
        <w:tc>
          <w:tcPr>
            <w:tcW w:w="692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3.17.</w:t>
            </w:r>
          </w:p>
        </w:tc>
        <w:tc>
          <w:tcPr>
            <w:tcW w:w="6920" w:type="dxa"/>
            <w:vAlign w:val="bottom"/>
          </w:tcPr>
          <w:p>
            <w:pPr>
              <w:ind w:left="240"/>
              <w:spacing w:after="0"/>
              <w:rPr>
                <w:sz w:val="20"/>
                <w:szCs w:val="20"/>
                <w:color w:val="auto"/>
              </w:rPr>
            </w:pPr>
            <w:r>
              <w:rPr>
                <w:rFonts w:ascii="Arial" w:cs="Arial" w:eastAsia="Arial" w:hAnsi="Arial"/>
                <w:sz w:val="18"/>
                <w:szCs w:val="18"/>
                <w:color w:val="auto"/>
              </w:rPr>
              <w:t>Payment and Performance Bonds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38"/>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3.18.</w:t>
            </w:r>
          </w:p>
        </w:tc>
        <w:tc>
          <w:tcPr>
            <w:tcW w:w="6920" w:type="dxa"/>
            <w:vAlign w:val="bottom"/>
          </w:tcPr>
          <w:p>
            <w:pPr>
              <w:ind w:left="240"/>
              <w:spacing w:after="0"/>
              <w:rPr>
                <w:sz w:val="20"/>
                <w:szCs w:val="20"/>
                <w:color w:val="auto"/>
              </w:rPr>
            </w:pPr>
            <w:r>
              <w:rPr>
                <w:rFonts w:ascii="Arial" w:cs="Arial" w:eastAsia="Arial" w:hAnsi="Arial"/>
                <w:sz w:val="18"/>
                <w:szCs w:val="18"/>
                <w:color w:val="auto"/>
              </w:rPr>
              <w:t>Commercial Tort Claims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Conditions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4.01.</w:t>
            </w:r>
          </w:p>
        </w:tc>
        <w:tc>
          <w:tcPr>
            <w:tcW w:w="6920" w:type="dxa"/>
            <w:vAlign w:val="bottom"/>
          </w:tcPr>
          <w:p>
            <w:pPr>
              <w:ind w:left="240"/>
              <w:spacing w:after="0"/>
              <w:rPr>
                <w:sz w:val="20"/>
                <w:szCs w:val="20"/>
                <w:color w:val="auto"/>
              </w:rPr>
            </w:pPr>
            <w:r>
              <w:rPr>
                <w:rFonts w:ascii="Arial" w:cs="Arial" w:eastAsia="Arial" w:hAnsi="Arial"/>
                <w:sz w:val="18"/>
                <w:szCs w:val="18"/>
                <w:color w:val="auto"/>
              </w:rPr>
              <w:t>Closing Date</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4.02.</w:t>
            </w:r>
          </w:p>
        </w:tc>
        <w:tc>
          <w:tcPr>
            <w:tcW w:w="6920" w:type="dxa"/>
            <w:vAlign w:val="bottom"/>
          </w:tcPr>
          <w:p>
            <w:pPr>
              <w:ind w:left="240"/>
              <w:spacing w:after="0"/>
              <w:rPr>
                <w:sz w:val="20"/>
                <w:szCs w:val="20"/>
                <w:color w:val="auto"/>
              </w:rPr>
            </w:pPr>
            <w:r>
              <w:rPr>
                <w:rFonts w:ascii="Arial" w:cs="Arial" w:eastAsia="Arial" w:hAnsi="Arial"/>
                <w:sz w:val="18"/>
                <w:szCs w:val="18"/>
                <w:color w:val="auto"/>
              </w:rPr>
              <w:t>Each Credit Event</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Affirmative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5.01.</w:t>
            </w:r>
          </w:p>
        </w:tc>
        <w:tc>
          <w:tcPr>
            <w:tcW w:w="6920" w:type="dxa"/>
            <w:vAlign w:val="bottom"/>
          </w:tcPr>
          <w:p>
            <w:pPr>
              <w:ind w:left="240"/>
              <w:spacing w:after="0"/>
              <w:rPr>
                <w:sz w:val="20"/>
                <w:szCs w:val="20"/>
                <w:color w:val="auto"/>
              </w:rPr>
            </w:pPr>
            <w:r>
              <w:rPr>
                <w:rFonts w:ascii="Arial" w:cs="Arial" w:eastAsia="Arial" w:hAnsi="Arial"/>
                <w:sz w:val="18"/>
                <w:szCs w:val="18"/>
                <w:color w:val="auto"/>
              </w:rPr>
              <w:t>Financial Statements; Ratings Change and Other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5.02.</w:t>
            </w:r>
          </w:p>
        </w:tc>
        <w:tc>
          <w:tcPr>
            <w:tcW w:w="6920" w:type="dxa"/>
            <w:vAlign w:val="bottom"/>
          </w:tcPr>
          <w:p>
            <w:pPr>
              <w:ind w:left="240"/>
              <w:spacing w:after="0"/>
              <w:rPr>
                <w:sz w:val="20"/>
                <w:szCs w:val="20"/>
                <w:color w:val="auto"/>
              </w:rPr>
            </w:pPr>
            <w:r>
              <w:rPr>
                <w:rFonts w:ascii="Arial" w:cs="Arial" w:eastAsia="Arial" w:hAnsi="Arial"/>
                <w:sz w:val="18"/>
                <w:szCs w:val="18"/>
                <w:color w:val="auto"/>
              </w:rPr>
              <w:t>Notices of Material Events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5.03.</w:t>
            </w:r>
          </w:p>
        </w:tc>
        <w:tc>
          <w:tcPr>
            <w:tcW w:w="6920" w:type="dxa"/>
            <w:vAlign w:val="bottom"/>
          </w:tcPr>
          <w:p>
            <w:pPr>
              <w:ind w:left="240"/>
              <w:spacing w:after="0"/>
              <w:rPr>
                <w:sz w:val="20"/>
                <w:szCs w:val="20"/>
                <w:color w:val="auto"/>
              </w:rPr>
            </w:pPr>
            <w:r>
              <w:rPr>
                <w:rFonts w:ascii="Arial" w:cs="Arial" w:eastAsia="Arial" w:hAnsi="Arial"/>
                <w:sz w:val="18"/>
                <w:szCs w:val="18"/>
                <w:color w:val="auto"/>
              </w:rPr>
              <w:t>Existence; Conduct of Business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5.04.</w:t>
            </w:r>
          </w:p>
        </w:tc>
        <w:tc>
          <w:tcPr>
            <w:tcW w:w="692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5.05.</w:t>
            </w:r>
          </w:p>
        </w:tc>
        <w:tc>
          <w:tcPr>
            <w:tcW w:w="6920" w:type="dxa"/>
            <w:vAlign w:val="bottom"/>
          </w:tcPr>
          <w:p>
            <w:pPr>
              <w:ind w:left="240"/>
              <w:spacing w:after="0"/>
              <w:rPr>
                <w:sz w:val="20"/>
                <w:szCs w:val="20"/>
                <w:color w:val="auto"/>
              </w:rPr>
            </w:pPr>
            <w:r>
              <w:rPr>
                <w:rFonts w:ascii="Arial" w:cs="Arial" w:eastAsia="Arial" w:hAnsi="Arial"/>
                <w:sz w:val="18"/>
                <w:szCs w:val="18"/>
                <w:color w:val="auto"/>
              </w:rPr>
              <w:t>Maintenance of Properties; 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5.06.</w:t>
            </w:r>
          </w:p>
        </w:tc>
        <w:tc>
          <w:tcPr>
            <w:tcW w:w="6920" w:type="dxa"/>
            <w:vAlign w:val="bottom"/>
          </w:tcPr>
          <w:p>
            <w:pPr>
              <w:ind w:left="240"/>
              <w:spacing w:after="0"/>
              <w:rPr>
                <w:sz w:val="20"/>
                <w:szCs w:val="20"/>
                <w:color w:val="auto"/>
              </w:rPr>
            </w:pPr>
            <w:r>
              <w:rPr>
                <w:rFonts w:ascii="Arial" w:cs="Arial" w:eastAsia="Arial" w:hAnsi="Arial"/>
                <w:sz w:val="18"/>
                <w:szCs w:val="18"/>
                <w:color w:val="auto"/>
              </w:rPr>
              <w:t>Books and Records; Inspection Rights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5.07.</w:t>
            </w:r>
          </w:p>
        </w:tc>
        <w:tc>
          <w:tcPr>
            <w:tcW w:w="69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5.08.</w:t>
            </w:r>
          </w:p>
        </w:tc>
        <w:tc>
          <w:tcPr>
            <w:tcW w:w="6920" w:type="dxa"/>
            <w:vAlign w:val="bottom"/>
          </w:tcPr>
          <w:p>
            <w:pPr>
              <w:ind w:left="240"/>
              <w:spacing w:after="0"/>
              <w:rPr>
                <w:sz w:val="20"/>
                <w:szCs w:val="20"/>
                <w:color w:val="auto"/>
              </w:rPr>
            </w:pPr>
            <w:r>
              <w:rPr>
                <w:rFonts w:ascii="Arial" w:cs="Arial" w:eastAsia="Arial" w:hAnsi="Arial"/>
                <w:sz w:val="18"/>
                <w:szCs w:val="18"/>
                <w:color w:val="auto"/>
              </w:rPr>
              <w:t>Use of Proceeds and Facility LCs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5.09.</w:t>
            </w:r>
          </w:p>
        </w:tc>
        <w:tc>
          <w:tcPr>
            <w:tcW w:w="6920" w:type="dxa"/>
            <w:vAlign w:val="bottom"/>
          </w:tcPr>
          <w:p>
            <w:pPr>
              <w:ind w:left="240"/>
              <w:spacing w:after="0"/>
              <w:rPr>
                <w:sz w:val="20"/>
                <w:szCs w:val="20"/>
                <w:color w:val="auto"/>
              </w:rPr>
            </w:pPr>
            <w:r>
              <w:rPr>
                <w:rFonts w:ascii="Arial" w:cs="Arial" w:eastAsia="Arial" w:hAnsi="Arial"/>
                <w:sz w:val="18"/>
                <w:szCs w:val="18"/>
                <w:color w:val="auto"/>
              </w:rPr>
              <w:t>Additional Subsidiaries; Foreign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5.10.</w:t>
            </w:r>
          </w:p>
        </w:tc>
        <w:tc>
          <w:tcPr>
            <w:tcW w:w="6920" w:type="dxa"/>
            <w:vAlign w:val="bottom"/>
          </w:tcPr>
          <w:p>
            <w:pPr>
              <w:ind w:left="240"/>
              <w:spacing w:after="0"/>
              <w:rPr>
                <w:sz w:val="20"/>
                <w:szCs w:val="20"/>
                <w:color w:val="auto"/>
              </w:rPr>
            </w:pPr>
            <w:r>
              <w:rPr>
                <w:rFonts w:ascii="Arial" w:cs="Arial" w:eastAsia="Arial" w:hAnsi="Arial"/>
                <w:sz w:val="18"/>
                <w:szCs w:val="18"/>
                <w:color w:val="auto"/>
              </w:rPr>
              <w:t>Collateral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5.11.</w:t>
            </w:r>
          </w:p>
        </w:tc>
        <w:tc>
          <w:tcPr>
            <w:tcW w:w="6920" w:type="dxa"/>
            <w:vAlign w:val="bottom"/>
          </w:tcPr>
          <w:p>
            <w:pPr>
              <w:ind w:left="240"/>
              <w:spacing w:after="0"/>
              <w:rPr>
                <w:sz w:val="20"/>
                <w:szCs w:val="20"/>
                <w:color w:val="auto"/>
              </w:rPr>
            </w:pPr>
            <w:r>
              <w:rPr>
                <w:rFonts w:ascii="Arial" w:cs="Arial" w:eastAsia="Arial" w:hAnsi="Arial"/>
                <w:sz w:val="18"/>
                <w:szCs w:val="18"/>
                <w:color w:val="auto"/>
              </w:rPr>
              <w:t>Security Interests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5.12.</w:t>
            </w:r>
          </w:p>
        </w:tc>
        <w:tc>
          <w:tcPr>
            <w:tcW w:w="6920" w:type="dxa"/>
            <w:vAlign w:val="bottom"/>
          </w:tcPr>
          <w:p>
            <w:pPr>
              <w:ind w:left="240"/>
              <w:spacing w:after="0"/>
              <w:rPr>
                <w:sz w:val="20"/>
                <w:szCs w:val="20"/>
                <w:color w:val="auto"/>
              </w:rPr>
            </w:pPr>
            <w:r>
              <w:rPr>
                <w:rFonts w:ascii="Arial" w:cs="Arial" w:eastAsia="Arial" w:hAnsi="Arial"/>
                <w:sz w:val="18"/>
                <w:szCs w:val="18"/>
                <w:color w:val="auto"/>
              </w:rPr>
              <w:t>Matrix Service Specialized Transport, Inc.</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5.13.</w:t>
            </w:r>
          </w:p>
        </w:tc>
        <w:tc>
          <w:tcPr>
            <w:tcW w:w="6920" w:type="dxa"/>
            <w:vAlign w:val="bottom"/>
          </w:tcPr>
          <w:p>
            <w:pPr>
              <w:ind w:left="240"/>
              <w:spacing w:after="0"/>
              <w:rPr>
                <w:sz w:val="20"/>
                <w:szCs w:val="20"/>
                <w:color w:val="auto"/>
              </w:rPr>
            </w:pPr>
            <w:r>
              <w:rPr>
                <w:rFonts w:ascii="Arial" w:cs="Arial" w:eastAsia="Arial" w:hAnsi="Arial"/>
                <w:sz w:val="18"/>
                <w:szCs w:val="18"/>
                <w:color w:val="auto"/>
              </w:rPr>
              <w:t>Canadian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Negative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6.01.</w:t>
            </w:r>
          </w:p>
        </w:tc>
        <w:tc>
          <w:tcPr>
            <w:tcW w:w="6920" w:type="dxa"/>
            <w:vAlign w:val="bottom"/>
          </w:tcPr>
          <w:p>
            <w:pPr>
              <w:ind w:left="240"/>
              <w:spacing w:after="0"/>
              <w:rPr>
                <w:sz w:val="20"/>
                <w:szCs w:val="20"/>
                <w:color w:val="auto"/>
              </w:rPr>
            </w:pPr>
            <w:r>
              <w:rPr>
                <w:rFonts w:ascii="Arial" w:cs="Arial" w:eastAsia="Arial" w:hAnsi="Arial"/>
                <w:sz w:val="18"/>
                <w:szCs w:val="18"/>
                <w:color w:val="auto"/>
              </w:rPr>
              <w:t>Indebtedness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6.02.</w:t>
            </w:r>
          </w:p>
        </w:tc>
        <w:tc>
          <w:tcPr>
            <w:tcW w:w="6920" w:type="dxa"/>
            <w:vAlign w:val="bottom"/>
          </w:tcPr>
          <w:p>
            <w:pPr>
              <w:ind w:left="240"/>
              <w:spacing w:after="0"/>
              <w:rPr>
                <w:sz w:val="20"/>
                <w:szCs w:val="20"/>
                <w:color w:val="auto"/>
              </w:rPr>
            </w:pPr>
            <w:r>
              <w:rPr>
                <w:rFonts w:ascii="Arial" w:cs="Arial" w:eastAsia="Arial" w:hAnsi="Arial"/>
                <w:sz w:val="18"/>
                <w:szCs w:val="18"/>
                <w:color w:val="auto"/>
              </w:rPr>
              <w:t>Liens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6.03.</w:t>
            </w:r>
          </w:p>
        </w:tc>
        <w:tc>
          <w:tcPr>
            <w:tcW w:w="692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6.04.</w:t>
            </w:r>
          </w:p>
        </w:tc>
        <w:tc>
          <w:tcPr>
            <w:tcW w:w="6920" w:type="dxa"/>
            <w:vAlign w:val="bottom"/>
          </w:tcPr>
          <w:p>
            <w:pPr>
              <w:ind w:left="240"/>
              <w:spacing w:after="0"/>
              <w:rPr>
                <w:sz w:val="20"/>
                <w:szCs w:val="20"/>
                <w:color w:val="auto"/>
              </w:rPr>
            </w:pPr>
            <w:r>
              <w:rPr>
                <w:rFonts w:ascii="Arial" w:cs="Arial" w:eastAsia="Arial" w:hAnsi="Arial"/>
                <w:sz w:val="18"/>
                <w:szCs w:val="18"/>
                <w:color w:val="auto"/>
              </w:rPr>
              <w:t>Investments, Loans, Advances, Guarantees and Acquisitions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6.05.</w:t>
            </w:r>
          </w:p>
        </w:tc>
        <w:tc>
          <w:tcPr>
            <w:tcW w:w="6920" w:type="dxa"/>
            <w:vAlign w:val="bottom"/>
          </w:tcPr>
          <w:p>
            <w:pPr>
              <w:ind w:left="240"/>
              <w:spacing w:after="0"/>
              <w:rPr>
                <w:sz w:val="20"/>
                <w:szCs w:val="20"/>
                <w:color w:val="auto"/>
              </w:rPr>
            </w:pPr>
            <w:r>
              <w:rPr>
                <w:rFonts w:ascii="Arial" w:cs="Arial" w:eastAsia="Arial" w:hAnsi="Arial"/>
                <w:sz w:val="18"/>
                <w:szCs w:val="18"/>
                <w:color w:val="auto"/>
              </w:rPr>
              <w:t>Swap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6.06.</w:t>
            </w:r>
          </w:p>
        </w:tc>
        <w:tc>
          <w:tcPr>
            <w:tcW w:w="6920" w:type="dxa"/>
            <w:vAlign w:val="bottom"/>
          </w:tcPr>
          <w:p>
            <w:pPr>
              <w:ind w:left="240"/>
              <w:spacing w:after="0"/>
              <w:rPr>
                <w:sz w:val="20"/>
                <w:szCs w:val="20"/>
                <w:color w:val="auto"/>
              </w:rPr>
            </w:pPr>
            <w:r>
              <w:rPr>
                <w:rFonts w:ascii="Arial" w:cs="Arial" w:eastAsia="Arial" w:hAnsi="Arial"/>
                <w:sz w:val="18"/>
                <w:szCs w:val="18"/>
                <w:color w:val="auto"/>
              </w:rPr>
              <w:t>Restricted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6.07.</w:t>
            </w:r>
          </w:p>
        </w:tc>
        <w:tc>
          <w:tcPr>
            <w:tcW w:w="692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6.08.</w:t>
            </w:r>
          </w:p>
        </w:tc>
        <w:tc>
          <w:tcPr>
            <w:tcW w:w="6920" w:type="dxa"/>
            <w:vAlign w:val="bottom"/>
          </w:tcPr>
          <w:p>
            <w:pPr>
              <w:ind w:left="240"/>
              <w:spacing w:after="0"/>
              <w:rPr>
                <w:sz w:val="20"/>
                <w:szCs w:val="20"/>
                <w:color w:val="auto"/>
              </w:rPr>
            </w:pPr>
            <w:r>
              <w:rPr>
                <w:rFonts w:ascii="Arial" w:cs="Arial" w:eastAsia="Arial" w:hAnsi="Arial"/>
                <w:sz w:val="18"/>
                <w:szCs w:val="18"/>
                <w:color w:val="auto"/>
              </w:rPr>
              <w:t>Restrictive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6.09.</w:t>
            </w:r>
          </w:p>
        </w:tc>
        <w:tc>
          <w:tcPr>
            <w:tcW w:w="6920" w:type="dxa"/>
            <w:vAlign w:val="bottom"/>
          </w:tcPr>
          <w:p>
            <w:pPr>
              <w:ind w:left="240"/>
              <w:spacing w:after="0"/>
              <w:rPr>
                <w:sz w:val="20"/>
                <w:szCs w:val="20"/>
                <w:color w:val="auto"/>
              </w:rPr>
            </w:pPr>
            <w:r>
              <w:rPr>
                <w:rFonts w:ascii="Arial" w:cs="Arial" w:eastAsia="Arial" w:hAnsi="Arial"/>
                <w:sz w:val="18"/>
                <w:szCs w:val="18"/>
                <w:color w:val="auto"/>
              </w:rPr>
              <w:t>Amendments to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6.10.</w:t>
            </w:r>
          </w:p>
        </w:tc>
        <w:tc>
          <w:tcPr>
            <w:tcW w:w="6920" w:type="dxa"/>
            <w:vAlign w:val="bottom"/>
          </w:tcPr>
          <w:p>
            <w:pPr>
              <w:ind w:left="240"/>
              <w:spacing w:after="0"/>
              <w:rPr>
                <w:sz w:val="20"/>
                <w:szCs w:val="20"/>
                <w:color w:val="auto"/>
              </w:rPr>
            </w:pPr>
            <w:r>
              <w:rPr>
                <w:rFonts w:ascii="Arial" w:cs="Arial" w:eastAsia="Arial" w:hAnsi="Arial"/>
                <w:sz w:val="18"/>
                <w:szCs w:val="18"/>
                <w:color w:val="auto"/>
              </w:rPr>
              <w:t>Sale of Accounts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6.11.</w:t>
            </w:r>
          </w:p>
        </w:tc>
        <w:tc>
          <w:tcPr>
            <w:tcW w:w="6920" w:type="dxa"/>
            <w:vAlign w:val="bottom"/>
          </w:tcPr>
          <w:p>
            <w:pPr>
              <w:ind w:left="240"/>
              <w:spacing w:after="0"/>
              <w:rPr>
                <w:sz w:val="20"/>
                <w:szCs w:val="20"/>
                <w:color w:val="auto"/>
              </w:rPr>
            </w:pPr>
            <w:r>
              <w:rPr>
                <w:rFonts w:ascii="Arial" w:cs="Arial" w:eastAsia="Arial" w:hAnsi="Arial"/>
                <w:sz w:val="18"/>
                <w:szCs w:val="18"/>
                <w:color w:val="auto"/>
              </w:rPr>
              <w:t>Off-Balance Sheet Liabilities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20"/>
          </w:cols>
          <w:pgMar w:left="240" w:top="280" w:right="3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tc>
        <w:tc>
          <w:tcPr>
            <w:tcW w:w="688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73"/>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6.12.</w:t>
            </w:r>
          </w:p>
        </w:tc>
        <w:tc>
          <w:tcPr>
            <w:tcW w:w="6880" w:type="dxa"/>
            <w:vAlign w:val="bottom"/>
          </w:tcPr>
          <w:p>
            <w:pPr>
              <w:ind w:left="240"/>
              <w:spacing w:after="0"/>
              <w:rPr>
                <w:sz w:val="20"/>
                <w:szCs w:val="20"/>
                <w:color w:val="auto"/>
              </w:rPr>
            </w:pPr>
            <w:r>
              <w:rPr>
                <w:rFonts w:ascii="Arial" w:cs="Arial" w:eastAsia="Arial" w:hAnsi="Arial"/>
                <w:sz w:val="18"/>
                <w:szCs w:val="18"/>
                <w:color w:val="auto"/>
              </w:rPr>
              <w:t>Contingent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6.13</w:t>
            </w:r>
          </w:p>
        </w:tc>
        <w:tc>
          <w:tcPr>
            <w:tcW w:w="6880" w:type="dxa"/>
            <w:vAlign w:val="bottom"/>
          </w:tcPr>
          <w:p>
            <w:pPr>
              <w:ind w:left="240"/>
              <w:spacing w:after="0"/>
              <w:rPr>
                <w:sz w:val="20"/>
                <w:szCs w:val="20"/>
                <w:color w:val="auto"/>
              </w:rPr>
            </w:pPr>
            <w:r>
              <w:rPr>
                <w:rFonts w:ascii="Arial" w:cs="Arial" w:eastAsia="Arial" w:hAnsi="Arial"/>
                <w:sz w:val="18"/>
                <w:szCs w:val="18"/>
                <w:color w:val="auto"/>
              </w:rPr>
              <w:t>Letters of Credit</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6.14.</w:t>
            </w:r>
          </w:p>
        </w:tc>
        <w:tc>
          <w:tcPr>
            <w:tcW w:w="6880" w:type="dxa"/>
            <w:vAlign w:val="bottom"/>
          </w:tcPr>
          <w:p>
            <w:pPr>
              <w:ind w:left="240"/>
              <w:spacing w:after="0"/>
              <w:rPr>
                <w:sz w:val="20"/>
                <w:szCs w:val="20"/>
                <w:color w:val="auto"/>
              </w:rPr>
            </w:pPr>
            <w:r>
              <w:rPr>
                <w:rFonts w:ascii="Arial" w:cs="Arial" w:eastAsia="Arial" w:hAnsi="Arial"/>
                <w:sz w:val="18"/>
                <w:szCs w:val="18"/>
                <w:color w:val="auto"/>
              </w:rPr>
              <w:t>Senior Leverage Ratio</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6.15.</w:t>
            </w:r>
          </w:p>
        </w:tc>
        <w:tc>
          <w:tcPr>
            <w:tcW w:w="6880" w:type="dxa"/>
            <w:vAlign w:val="bottom"/>
          </w:tcPr>
          <w:p>
            <w:pPr>
              <w:ind w:left="240"/>
              <w:spacing w:after="0"/>
              <w:rPr>
                <w:sz w:val="20"/>
                <w:szCs w:val="20"/>
                <w:color w:val="auto"/>
              </w:rPr>
            </w:pPr>
            <w:r>
              <w:rPr>
                <w:rFonts w:ascii="Arial" w:cs="Arial" w:eastAsia="Arial" w:hAnsi="Arial"/>
                <w:sz w:val="18"/>
                <w:szCs w:val="18"/>
                <w:color w:val="auto"/>
              </w:rPr>
              <w:t>Fixed Charge Coverage Ratio</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6.16</w:t>
            </w:r>
          </w:p>
        </w:tc>
        <w:tc>
          <w:tcPr>
            <w:tcW w:w="6880" w:type="dxa"/>
            <w:vAlign w:val="bottom"/>
          </w:tcPr>
          <w:p>
            <w:pPr>
              <w:ind w:left="240"/>
              <w:spacing w:after="0"/>
              <w:rPr>
                <w:sz w:val="20"/>
                <w:szCs w:val="20"/>
                <w:color w:val="auto"/>
              </w:rPr>
            </w:pPr>
            <w:r>
              <w:rPr>
                <w:rFonts w:ascii="Arial" w:cs="Arial" w:eastAsia="Arial" w:hAnsi="Arial"/>
                <w:sz w:val="18"/>
                <w:szCs w:val="18"/>
                <w:color w:val="auto"/>
              </w:rPr>
              <w:t>Employee Pension Benefit Plan; Canadian Pension Plans</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w:t>
            </w:r>
          </w:p>
        </w:tc>
        <w:tc>
          <w:tcPr>
            <w:tcW w:w="7440" w:type="dxa"/>
            <w:vAlign w:val="bottom"/>
            <w:gridSpan w:val="2"/>
          </w:tcPr>
          <w:p>
            <w:pPr>
              <w:ind w:left="14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VIII.</w:t>
            </w:r>
          </w:p>
        </w:tc>
        <w:tc>
          <w:tcPr>
            <w:tcW w:w="7440" w:type="dxa"/>
            <w:vAlign w:val="bottom"/>
            <w:gridSpan w:val="2"/>
          </w:tcPr>
          <w:p>
            <w:pPr>
              <w:ind w:left="140"/>
              <w:spacing w:after="0"/>
              <w:rPr>
                <w:sz w:val="20"/>
                <w:szCs w:val="20"/>
                <w:color w:val="auto"/>
              </w:rPr>
            </w:pPr>
            <w:r>
              <w:rPr>
                <w:rFonts w:ascii="Arial" w:cs="Arial" w:eastAsia="Arial" w:hAnsi="Arial"/>
                <w:sz w:val="18"/>
                <w:szCs w:val="18"/>
                <w:color w:val="auto"/>
              </w:rPr>
              <w:t>The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8.01.</w:t>
            </w:r>
          </w:p>
        </w:tc>
        <w:tc>
          <w:tcPr>
            <w:tcW w:w="688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8.02.</w:t>
            </w:r>
          </w:p>
        </w:tc>
        <w:tc>
          <w:tcPr>
            <w:tcW w:w="6880" w:type="dxa"/>
            <w:vAlign w:val="bottom"/>
          </w:tcPr>
          <w:p>
            <w:pPr>
              <w:ind w:left="240"/>
              <w:spacing w:after="0"/>
              <w:rPr>
                <w:sz w:val="20"/>
                <w:szCs w:val="20"/>
                <w:color w:val="auto"/>
              </w:rPr>
            </w:pPr>
            <w:r>
              <w:rPr>
                <w:rFonts w:ascii="Arial" w:cs="Arial" w:eastAsia="Arial" w:hAnsi="Arial"/>
                <w:sz w:val="18"/>
                <w:szCs w:val="18"/>
                <w:color w:val="auto"/>
              </w:rPr>
              <w:t>Administrative Agent and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8.03.</w:t>
            </w:r>
          </w:p>
        </w:tc>
        <w:tc>
          <w:tcPr>
            <w:tcW w:w="6880" w:type="dxa"/>
            <w:vAlign w:val="bottom"/>
          </w:tcPr>
          <w:p>
            <w:pPr>
              <w:ind w:left="240"/>
              <w:spacing w:after="0"/>
              <w:rPr>
                <w:sz w:val="20"/>
                <w:szCs w:val="20"/>
                <w:color w:val="auto"/>
              </w:rPr>
            </w:pPr>
            <w:r>
              <w:rPr>
                <w:rFonts w:ascii="Arial" w:cs="Arial" w:eastAsia="Arial" w:hAnsi="Arial"/>
                <w:sz w:val="18"/>
                <w:szCs w:val="18"/>
                <w:color w:val="auto"/>
              </w:rPr>
              <w:t>Collateral; Required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8.04.</w:t>
            </w:r>
          </w:p>
        </w:tc>
        <w:tc>
          <w:tcPr>
            <w:tcW w:w="6880" w:type="dxa"/>
            <w:vAlign w:val="bottom"/>
          </w:tcPr>
          <w:p>
            <w:pPr>
              <w:ind w:left="240"/>
              <w:spacing w:after="0"/>
              <w:rPr>
                <w:sz w:val="20"/>
                <w:szCs w:val="20"/>
                <w:color w:val="auto"/>
              </w:rPr>
            </w:pPr>
            <w:r>
              <w:rPr>
                <w:rFonts w:ascii="Arial" w:cs="Arial" w:eastAsia="Arial" w:hAnsi="Arial"/>
                <w:sz w:val="18"/>
                <w:szCs w:val="18"/>
                <w:color w:val="auto"/>
              </w:rPr>
              <w:t>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8.05.</w:t>
            </w:r>
          </w:p>
        </w:tc>
        <w:tc>
          <w:tcPr>
            <w:tcW w:w="6880" w:type="dxa"/>
            <w:vAlign w:val="bottom"/>
          </w:tcPr>
          <w:p>
            <w:pPr>
              <w:ind w:left="240"/>
              <w:spacing w:after="0"/>
              <w:rPr>
                <w:sz w:val="20"/>
                <w:szCs w:val="20"/>
                <w:color w:val="auto"/>
              </w:rPr>
            </w:pPr>
            <w:r>
              <w:rPr>
                <w:rFonts w:ascii="Arial" w:cs="Arial" w:eastAsia="Arial" w:hAnsi="Arial"/>
                <w:sz w:val="18"/>
                <w:szCs w:val="18"/>
                <w:color w:val="auto"/>
              </w:rPr>
              <w:t>Communications; Counsel</w:t>
            </w:r>
          </w:p>
        </w:tc>
        <w:tc>
          <w:tcPr>
            <w:tcW w:w="2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8.06.</w:t>
            </w:r>
          </w:p>
        </w:tc>
        <w:tc>
          <w:tcPr>
            <w:tcW w:w="6880" w:type="dxa"/>
            <w:vAlign w:val="bottom"/>
          </w:tcPr>
          <w:p>
            <w:pPr>
              <w:ind w:left="240"/>
              <w:spacing w:after="0"/>
              <w:rPr>
                <w:sz w:val="20"/>
                <w:szCs w:val="20"/>
                <w:color w:val="auto"/>
              </w:rPr>
            </w:pPr>
            <w:r>
              <w:rPr>
                <w:rFonts w:ascii="Arial" w:cs="Arial" w:eastAsia="Arial" w:hAnsi="Arial"/>
                <w:sz w:val="18"/>
                <w:szCs w:val="18"/>
                <w:color w:val="auto"/>
              </w:rPr>
              <w:t>Sub-Agents</w:t>
            </w:r>
          </w:p>
        </w:tc>
        <w:tc>
          <w:tcPr>
            <w:tcW w:w="2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8.07.</w:t>
            </w:r>
          </w:p>
        </w:tc>
        <w:tc>
          <w:tcPr>
            <w:tcW w:w="6880" w:type="dxa"/>
            <w:vAlign w:val="bottom"/>
          </w:tcPr>
          <w:p>
            <w:pPr>
              <w:ind w:left="240"/>
              <w:spacing w:after="0"/>
              <w:rPr>
                <w:sz w:val="20"/>
                <w:szCs w:val="20"/>
                <w:color w:val="auto"/>
              </w:rPr>
            </w:pPr>
            <w:r>
              <w:rPr>
                <w:rFonts w:ascii="Arial" w:cs="Arial" w:eastAsia="Arial" w:hAnsi="Arial"/>
                <w:sz w:val="18"/>
                <w:szCs w:val="18"/>
                <w:color w:val="auto"/>
              </w:rPr>
              <w:t>Successor</w:t>
            </w:r>
          </w:p>
        </w:tc>
        <w:tc>
          <w:tcPr>
            <w:tcW w:w="2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8.08.</w:t>
            </w:r>
          </w:p>
        </w:tc>
        <w:tc>
          <w:tcPr>
            <w:tcW w:w="6880" w:type="dxa"/>
            <w:vAlign w:val="bottom"/>
          </w:tcPr>
          <w:p>
            <w:pPr>
              <w:ind w:left="240"/>
              <w:spacing w:after="0"/>
              <w:rPr>
                <w:sz w:val="20"/>
                <w:szCs w:val="20"/>
                <w:color w:val="auto"/>
              </w:rPr>
            </w:pPr>
            <w:r>
              <w:rPr>
                <w:rFonts w:ascii="Arial" w:cs="Arial" w:eastAsia="Arial" w:hAnsi="Arial"/>
                <w:sz w:val="18"/>
                <w:szCs w:val="18"/>
                <w:color w:val="auto"/>
              </w:rPr>
              <w:t>Lenders’ Reliance; Decisions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IX</w:t>
            </w:r>
          </w:p>
        </w:tc>
        <w:tc>
          <w:tcPr>
            <w:tcW w:w="74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9.01.</w:t>
            </w:r>
          </w:p>
        </w:tc>
        <w:tc>
          <w:tcPr>
            <w:tcW w:w="68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9.02.</w:t>
            </w:r>
          </w:p>
        </w:tc>
        <w:tc>
          <w:tcPr>
            <w:tcW w:w="6880" w:type="dxa"/>
            <w:vAlign w:val="bottom"/>
          </w:tcPr>
          <w:p>
            <w:pPr>
              <w:ind w:left="240"/>
              <w:spacing w:after="0"/>
              <w:rPr>
                <w:sz w:val="20"/>
                <w:szCs w:val="20"/>
                <w:color w:val="auto"/>
              </w:rPr>
            </w:pPr>
            <w:r>
              <w:rPr>
                <w:rFonts w:ascii="Arial" w:cs="Arial" w:eastAsia="Arial" w:hAnsi="Arial"/>
                <w:sz w:val="18"/>
                <w:szCs w:val="18"/>
                <w:color w:val="auto"/>
              </w:rPr>
              <w:t>Waivers; Amendments</w:t>
            </w:r>
          </w:p>
        </w:tc>
        <w:tc>
          <w:tcPr>
            <w:tcW w:w="2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9.03.</w:t>
            </w:r>
          </w:p>
        </w:tc>
        <w:tc>
          <w:tcPr>
            <w:tcW w:w="6880" w:type="dxa"/>
            <w:vAlign w:val="bottom"/>
          </w:tcPr>
          <w:p>
            <w:pPr>
              <w:ind w:left="240"/>
              <w:spacing w:after="0"/>
              <w:rPr>
                <w:sz w:val="20"/>
                <w:szCs w:val="20"/>
                <w:color w:val="auto"/>
              </w:rPr>
            </w:pPr>
            <w:r>
              <w:rPr>
                <w:rFonts w:ascii="Arial" w:cs="Arial" w:eastAsia="Arial" w:hAnsi="Arial"/>
                <w:sz w:val="18"/>
                <w:szCs w:val="18"/>
                <w:color w:val="auto"/>
              </w:rPr>
              <w:t>Expenses; Indemnity; Damage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9.04.</w:t>
            </w:r>
          </w:p>
        </w:tc>
        <w:tc>
          <w:tcPr>
            <w:tcW w:w="688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9.05.</w:t>
            </w:r>
          </w:p>
        </w:tc>
        <w:tc>
          <w:tcPr>
            <w:tcW w:w="688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9.06.</w:t>
            </w:r>
          </w:p>
        </w:tc>
        <w:tc>
          <w:tcPr>
            <w:tcW w:w="688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9.07.</w:t>
            </w:r>
          </w:p>
        </w:tc>
        <w:tc>
          <w:tcPr>
            <w:tcW w:w="6880" w:type="dxa"/>
            <w:vAlign w:val="bottom"/>
          </w:tcPr>
          <w:p>
            <w:pPr>
              <w:ind w:left="240"/>
              <w:spacing w:after="0"/>
              <w:rPr>
                <w:sz w:val="20"/>
                <w:szCs w:val="20"/>
                <w:color w:val="auto"/>
              </w:rPr>
            </w:pPr>
            <w:r>
              <w:rPr>
                <w:rFonts w:ascii="Arial" w:cs="Arial" w:eastAsia="Arial" w:hAnsi="Arial"/>
                <w:sz w:val="18"/>
                <w:szCs w:val="18"/>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9.08.</w:t>
            </w:r>
          </w:p>
        </w:tc>
        <w:tc>
          <w:tcPr>
            <w:tcW w:w="68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9.09.</w:t>
            </w:r>
          </w:p>
        </w:tc>
        <w:tc>
          <w:tcPr>
            <w:tcW w:w="688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9.10.</w:t>
            </w:r>
          </w:p>
        </w:tc>
        <w:tc>
          <w:tcPr>
            <w:tcW w:w="6880" w:type="dxa"/>
            <w:vAlign w:val="bottom"/>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9.11.</w:t>
            </w:r>
          </w:p>
        </w:tc>
        <w:tc>
          <w:tcPr>
            <w:tcW w:w="688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9.12.</w:t>
            </w:r>
          </w:p>
        </w:tc>
        <w:tc>
          <w:tcPr>
            <w:tcW w:w="6880" w:type="dxa"/>
            <w:vAlign w:val="bottom"/>
          </w:tcPr>
          <w:p>
            <w:pPr>
              <w:ind w:left="240"/>
              <w:spacing w:after="0"/>
              <w:rPr>
                <w:sz w:val="20"/>
                <w:szCs w:val="20"/>
                <w:color w:val="auto"/>
              </w:rPr>
            </w:pPr>
            <w:r>
              <w:rPr>
                <w:rFonts w:ascii="Arial" w:cs="Arial" w:eastAsia="Arial" w:hAnsi="Arial"/>
                <w:sz w:val="18"/>
                <w:szCs w:val="18"/>
                <w:color w:val="auto"/>
              </w:rPr>
              <w:t>Headings</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9.13.</w:t>
            </w:r>
          </w:p>
        </w:tc>
        <w:tc>
          <w:tcPr>
            <w:tcW w:w="688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9.14.</w:t>
            </w:r>
          </w:p>
        </w:tc>
        <w:tc>
          <w:tcPr>
            <w:tcW w:w="6880" w:type="dxa"/>
            <w:vAlign w:val="bottom"/>
          </w:tcPr>
          <w:p>
            <w:pPr>
              <w:ind w:left="240"/>
              <w:spacing w:after="0"/>
              <w:rPr>
                <w:sz w:val="20"/>
                <w:szCs w:val="20"/>
                <w:color w:val="auto"/>
              </w:rPr>
            </w:pPr>
            <w:r>
              <w:rPr>
                <w:rFonts w:ascii="Arial" w:cs="Arial" w:eastAsia="Arial" w:hAnsi="Arial"/>
                <w:sz w:val="18"/>
                <w:szCs w:val="18"/>
                <w:color w:val="auto"/>
              </w:rPr>
              <w:t>Interest Rate Limitation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840" w:type="dxa"/>
            <w:vAlign w:val="bottom"/>
            <w:gridSpan w:val="2"/>
          </w:tcPr>
          <w:p>
            <w:pPr>
              <w:ind w:left="660"/>
              <w:spacing w:after="0"/>
              <w:rPr>
                <w:sz w:val="20"/>
                <w:szCs w:val="20"/>
                <w:color w:val="auto"/>
              </w:rPr>
            </w:pPr>
            <w:r>
              <w:rPr>
                <w:rFonts w:ascii="Arial" w:cs="Arial" w:eastAsia="Arial" w:hAnsi="Arial"/>
                <w:sz w:val="18"/>
                <w:szCs w:val="18"/>
                <w:color w:val="auto"/>
              </w:rPr>
              <w:t>Section 9.15.</w:t>
            </w:r>
          </w:p>
        </w:tc>
        <w:tc>
          <w:tcPr>
            <w:tcW w:w="6880" w:type="dxa"/>
            <w:vAlign w:val="bottom"/>
          </w:tcPr>
          <w:p>
            <w:pPr>
              <w:ind w:left="240"/>
              <w:spacing w:after="0"/>
              <w:rPr>
                <w:sz w:val="20"/>
                <w:szCs w:val="20"/>
                <w:color w:val="auto"/>
              </w:rPr>
            </w:pPr>
            <w:r>
              <w:rPr>
                <w:rFonts w:ascii="Arial" w:cs="Arial" w:eastAsia="Arial" w:hAnsi="Arial"/>
                <w:sz w:val="18"/>
                <w:szCs w:val="18"/>
                <w:color w:val="auto"/>
              </w:rPr>
              <w:t>USA 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320"/>
          </w:cols>
          <w:pgMar w:left="240" w:top="280" w:right="3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700" w:type="dxa"/>
            <w:vAlign w:val="bottom"/>
            <w:gridSpan w:val="3"/>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tc>
        <w:tc>
          <w:tcPr>
            <w:tcW w:w="9360" w:type="dxa"/>
            <w:vAlign w:val="bottom"/>
          </w:tcPr>
          <w:p>
            <w:pPr>
              <w:spacing w:after="0"/>
              <w:rPr>
                <w:sz w:val="19"/>
                <w:szCs w:val="19"/>
                <w:color w:val="auto"/>
              </w:rPr>
            </w:pPr>
          </w:p>
        </w:tc>
      </w:tr>
      <w:tr>
        <w:trPr>
          <w:trHeight w:val="326"/>
        </w:trPr>
        <w:tc>
          <w:tcPr>
            <w:tcW w:w="170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360" w:type="dxa"/>
            <w:vAlign w:val="bottom"/>
          </w:tcPr>
          <w:p>
            <w:pPr>
              <w:spacing w:after="0"/>
              <w:rPr>
                <w:sz w:val="24"/>
                <w:szCs w:val="24"/>
                <w:color w:val="auto"/>
              </w:rPr>
            </w:pPr>
          </w:p>
        </w:tc>
      </w:tr>
      <w:tr>
        <w:trPr>
          <w:trHeight w:val="431"/>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Schedule 2.01</w:t>
            </w:r>
          </w:p>
        </w:tc>
        <w:tc>
          <w:tcPr>
            <w:tcW w:w="680" w:type="dxa"/>
            <w:vAlign w:val="bottom"/>
          </w:tcPr>
          <w:p>
            <w:pPr>
              <w:spacing w:after="0"/>
              <w:rPr>
                <w:sz w:val="24"/>
                <w:szCs w:val="24"/>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Lenders and Revolving Loan Commitments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3.05</w:t>
            </w:r>
          </w:p>
        </w:tc>
        <w:tc>
          <w:tcPr>
            <w:tcW w:w="9360" w:type="dxa"/>
            <w:vAlign w:val="bottom"/>
          </w:tcPr>
          <w:p>
            <w:pPr>
              <w:ind w:left="140"/>
              <w:spacing w:after="0"/>
              <w:rPr>
                <w:sz w:val="20"/>
                <w:szCs w:val="20"/>
                <w:color w:val="auto"/>
              </w:rPr>
            </w:pPr>
            <w:r>
              <w:rPr>
                <w:rFonts w:ascii="Arial" w:cs="Arial" w:eastAsia="Arial" w:hAnsi="Arial"/>
                <w:sz w:val="18"/>
                <w:szCs w:val="18"/>
                <w:color w:val="auto"/>
                <w:w w:val="89"/>
              </w:rPr>
              <w:t>Properties Subject to Title Defects that Might Interfere with Ability to Conduct Business as Currently Conducted or to Utilize Such</w:t>
            </w: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Properties for their Intended Purpose</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9360" w:type="dxa"/>
            <w:vAlign w:val="bottom"/>
          </w:tcPr>
          <w:p>
            <w:pPr>
              <w:ind w:left="140"/>
              <w:spacing w:after="0"/>
              <w:rPr>
                <w:sz w:val="20"/>
                <w:szCs w:val="20"/>
                <w:color w:val="auto"/>
              </w:rPr>
            </w:pPr>
            <w:r>
              <w:rPr>
                <w:rFonts w:ascii="Arial" w:cs="Arial" w:eastAsia="Arial" w:hAnsi="Arial"/>
                <w:sz w:val="18"/>
                <w:szCs w:val="18"/>
                <w:color w:val="auto"/>
              </w:rPr>
              <w:t>Litigation</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3.10(a)</w:t>
            </w:r>
          </w:p>
        </w:tc>
        <w:tc>
          <w:tcPr>
            <w:tcW w:w="9360" w:type="dxa"/>
            <w:vAlign w:val="bottom"/>
          </w:tcPr>
          <w:p>
            <w:pPr>
              <w:ind w:left="140"/>
              <w:spacing w:after="0"/>
              <w:rPr>
                <w:sz w:val="20"/>
                <w:szCs w:val="20"/>
                <w:color w:val="auto"/>
              </w:rPr>
            </w:pPr>
            <w:r>
              <w:rPr>
                <w:rFonts w:ascii="Arial" w:cs="Arial" w:eastAsia="Arial" w:hAnsi="Arial"/>
                <w:sz w:val="18"/>
                <w:szCs w:val="18"/>
                <w:color w:val="auto"/>
              </w:rPr>
              <w:t>ERISA Events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3.13</w:t>
            </w: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Subsidiaries (List of All Subsidiaries, with Jurisdictions of Organization, Ownership Percentages Held by the Company or other</w:t>
            </w: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3.18</w:t>
            </w:r>
          </w:p>
        </w:tc>
        <w:tc>
          <w:tcPr>
            <w:tcW w:w="9360" w:type="dxa"/>
            <w:vAlign w:val="bottom"/>
          </w:tcPr>
          <w:p>
            <w:pPr>
              <w:ind w:left="140"/>
              <w:spacing w:after="0"/>
              <w:rPr>
                <w:sz w:val="20"/>
                <w:szCs w:val="20"/>
                <w:color w:val="auto"/>
              </w:rPr>
            </w:pPr>
            <w:r>
              <w:rPr>
                <w:rFonts w:ascii="Arial" w:cs="Arial" w:eastAsia="Arial" w:hAnsi="Arial"/>
                <w:sz w:val="18"/>
                <w:szCs w:val="18"/>
                <w:color w:val="auto"/>
              </w:rPr>
              <w:t>List and Brief Description of Payment and Performance Bonds Utilized By the Company</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9360" w:type="dxa"/>
            <w:vAlign w:val="bottom"/>
          </w:tcPr>
          <w:p>
            <w:pPr>
              <w:ind w:left="140"/>
              <w:spacing w:after="0"/>
              <w:rPr>
                <w:sz w:val="20"/>
                <w:szCs w:val="20"/>
                <w:color w:val="auto"/>
              </w:rPr>
            </w:pPr>
            <w:r>
              <w:rPr>
                <w:rFonts w:ascii="Arial" w:cs="Arial" w:eastAsia="Arial" w:hAnsi="Arial"/>
                <w:sz w:val="18"/>
                <w:szCs w:val="18"/>
                <w:color w:val="auto"/>
              </w:rPr>
              <w:t>Existing Indebtedness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9360" w:type="dxa"/>
            <w:vAlign w:val="bottom"/>
          </w:tcPr>
          <w:p>
            <w:pPr>
              <w:ind w:left="140"/>
              <w:spacing w:after="0"/>
              <w:rPr>
                <w:sz w:val="20"/>
                <w:szCs w:val="20"/>
                <w:color w:val="auto"/>
              </w:rPr>
            </w:pPr>
            <w:r>
              <w:rPr>
                <w:rFonts w:ascii="Arial" w:cs="Arial" w:eastAsia="Arial" w:hAnsi="Arial"/>
                <w:sz w:val="18"/>
                <w:szCs w:val="18"/>
                <w:color w:val="auto"/>
              </w:rPr>
              <w:t>Existing Liens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6.08</w:t>
            </w:r>
          </w:p>
        </w:tc>
        <w:tc>
          <w:tcPr>
            <w:tcW w:w="9360" w:type="dxa"/>
            <w:vAlign w:val="bottom"/>
          </w:tcPr>
          <w:p>
            <w:pPr>
              <w:ind w:left="140"/>
              <w:spacing w:after="0"/>
              <w:rPr>
                <w:sz w:val="20"/>
                <w:szCs w:val="20"/>
                <w:color w:val="auto"/>
              </w:rPr>
            </w:pPr>
            <w:r>
              <w:rPr>
                <w:rFonts w:ascii="Arial" w:cs="Arial" w:eastAsia="Arial" w:hAnsi="Arial"/>
                <w:sz w:val="18"/>
                <w:szCs w:val="18"/>
                <w:color w:val="auto"/>
                <w:w w:val="90"/>
              </w:rPr>
              <w:t>Existing Restrictions (On Ability to Create, Incur or Permit Liens, On Ability to Pay Distributions or to repay loans or to guarantee</w:t>
            </w: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Indebtedness, Etc.)</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7(v)</w:t>
            </w:r>
          </w:p>
        </w:tc>
        <w:tc>
          <w:tcPr>
            <w:tcW w:w="9360" w:type="dxa"/>
            <w:vAlign w:val="bottom"/>
          </w:tcPr>
          <w:p>
            <w:pPr>
              <w:ind w:left="140"/>
              <w:spacing w:after="0"/>
              <w:rPr>
                <w:sz w:val="20"/>
                <w:szCs w:val="20"/>
                <w:color w:val="auto"/>
              </w:rPr>
            </w:pPr>
            <w:r>
              <w:rPr>
                <w:rFonts w:ascii="Arial" w:cs="Arial" w:eastAsia="Arial" w:hAnsi="Arial"/>
                <w:sz w:val="18"/>
                <w:szCs w:val="18"/>
                <w:color w:val="auto"/>
              </w:rPr>
              <w:t>Entities that Will Discontinue Business or Make a Material Change in the Nature of or Manner of Business</w:t>
            </w:r>
          </w:p>
        </w:tc>
      </w:tr>
      <w:tr>
        <w:trPr>
          <w:trHeight w:val="222"/>
        </w:trPr>
        <w:tc>
          <w:tcPr>
            <w:tcW w:w="1700" w:type="dxa"/>
            <w:vAlign w:val="bottom"/>
            <w:gridSpan w:val="3"/>
          </w:tcPr>
          <w:p>
            <w:pPr>
              <w:spacing w:after="0"/>
              <w:rPr>
                <w:sz w:val="20"/>
                <w:szCs w:val="20"/>
                <w:color w:val="auto"/>
              </w:rPr>
            </w:pPr>
            <w:r>
              <w:rPr>
                <w:rFonts w:ascii="Arial" w:cs="Arial" w:eastAsia="Arial" w:hAnsi="Arial"/>
                <w:sz w:val="18"/>
                <w:szCs w:val="18"/>
                <w:color w:val="auto"/>
              </w:rPr>
              <w:t>Schedule 7(w)</w:t>
            </w:r>
          </w:p>
        </w:tc>
        <w:tc>
          <w:tcPr>
            <w:tcW w:w="9360" w:type="dxa"/>
            <w:vAlign w:val="bottom"/>
          </w:tcPr>
          <w:p>
            <w:pPr>
              <w:ind w:left="140"/>
              <w:spacing w:after="0"/>
              <w:rPr>
                <w:sz w:val="20"/>
                <w:szCs w:val="20"/>
                <w:color w:val="auto"/>
              </w:rPr>
            </w:pPr>
            <w:r>
              <w:rPr>
                <w:rFonts w:ascii="Arial" w:cs="Arial" w:eastAsia="Arial" w:hAnsi="Arial"/>
                <w:sz w:val="18"/>
                <w:szCs w:val="18"/>
                <w:color w:val="auto"/>
              </w:rPr>
              <w:t>Entities that are not Required to Maintain Permits; Properties to Be Released</w:t>
            </w:r>
          </w:p>
        </w:tc>
      </w:tr>
      <w:tr>
        <w:trPr>
          <w:trHeight w:val="421"/>
        </w:trPr>
        <w:tc>
          <w:tcPr>
            <w:tcW w:w="17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360" w:type="dxa"/>
            <w:vAlign w:val="bottom"/>
          </w:tcPr>
          <w:p>
            <w:pPr>
              <w:spacing w:after="0"/>
              <w:rPr>
                <w:sz w:val="24"/>
                <w:szCs w:val="24"/>
                <w:color w:val="auto"/>
              </w:rPr>
            </w:pPr>
          </w:p>
        </w:tc>
      </w:tr>
      <w:tr>
        <w:trPr>
          <w:trHeight w:val="431"/>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900" w:type="dxa"/>
            <w:vAlign w:val="bottom"/>
            <w:gridSpan w:val="2"/>
          </w:tcPr>
          <w:p>
            <w:pPr>
              <w:spacing w:after="0"/>
              <w:rPr>
                <w:sz w:val="24"/>
                <w:szCs w:val="24"/>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Form of Assignment and Assumption Agreement</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360" w:type="dxa"/>
            <w:vAlign w:val="bottom"/>
          </w:tcPr>
          <w:p>
            <w:pPr>
              <w:ind w:left="140"/>
              <w:spacing w:after="0"/>
              <w:rPr>
                <w:sz w:val="20"/>
                <w:szCs w:val="20"/>
                <w:color w:val="auto"/>
              </w:rPr>
            </w:pPr>
            <w:r>
              <w:rPr>
                <w:rFonts w:ascii="Arial" w:cs="Arial" w:eastAsia="Arial" w:hAnsi="Arial"/>
                <w:sz w:val="18"/>
                <w:szCs w:val="18"/>
                <w:color w:val="auto"/>
              </w:rPr>
              <w:t>Form of Opinion of the Borrowers’ Counsel</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360" w:type="dxa"/>
            <w:vAlign w:val="bottom"/>
          </w:tcPr>
          <w:p>
            <w:pPr>
              <w:ind w:left="1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360" w:type="dxa"/>
            <w:vAlign w:val="bottom"/>
          </w:tcPr>
          <w:p>
            <w:pPr>
              <w:ind w:left="140"/>
              <w:spacing w:after="0"/>
              <w:rPr>
                <w:sz w:val="20"/>
                <w:szCs w:val="20"/>
                <w:color w:val="auto"/>
              </w:rPr>
            </w:pPr>
            <w:r>
              <w:rPr>
                <w:rFonts w:ascii="Arial" w:cs="Arial" w:eastAsia="Arial" w:hAnsi="Arial"/>
                <w:sz w:val="18"/>
                <w:szCs w:val="18"/>
                <w:color w:val="auto"/>
              </w:rPr>
              <w:t>List of Existing Guarantees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360" w:type="dxa"/>
            <w:vAlign w:val="bottom"/>
          </w:tcPr>
          <w:p>
            <w:pPr>
              <w:ind w:left="140"/>
              <w:spacing w:after="0"/>
              <w:rPr>
                <w:sz w:val="20"/>
                <w:szCs w:val="20"/>
                <w:color w:val="auto"/>
              </w:rPr>
            </w:pPr>
            <w:r>
              <w:rPr>
                <w:rFonts w:ascii="Arial" w:cs="Arial" w:eastAsia="Arial" w:hAnsi="Arial"/>
                <w:sz w:val="18"/>
                <w:szCs w:val="18"/>
                <w:color w:val="auto"/>
              </w:rPr>
              <w:t>List of Existing Security Agreements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360" w:type="dxa"/>
            <w:vAlign w:val="bottom"/>
          </w:tcPr>
          <w:p>
            <w:pPr>
              <w:ind w:left="140"/>
              <w:spacing w:after="0"/>
              <w:rPr>
                <w:sz w:val="20"/>
                <w:szCs w:val="20"/>
                <w:color w:val="auto"/>
              </w:rPr>
            </w:pPr>
            <w:r>
              <w:rPr>
                <w:rFonts w:ascii="Arial" w:cs="Arial" w:eastAsia="Arial" w:hAnsi="Arial"/>
                <w:sz w:val="18"/>
                <w:szCs w:val="18"/>
                <w:color w:val="auto"/>
              </w:rPr>
              <w:t>List of Mortgages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360" w:type="dxa"/>
            <w:vAlign w:val="bottom"/>
          </w:tcPr>
          <w:p>
            <w:pPr>
              <w:ind w:left="140"/>
              <w:spacing w:after="0"/>
              <w:rPr>
                <w:sz w:val="20"/>
                <w:szCs w:val="20"/>
                <w:color w:val="auto"/>
              </w:rPr>
            </w:pPr>
            <w:r>
              <w:rPr>
                <w:rFonts w:ascii="Arial" w:cs="Arial" w:eastAsia="Arial" w:hAnsi="Arial"/>
                <w:sz w:val="18"/>
                <w:szCs w:val="18"/>
                <w:color w:val="auto"/>
              </w:rPr>
              <w:t>List and Brief Description of Existing Facility LCs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360" w:type="dxa"/>
            <w:vAlign w:val="bottom"/>
          </w:tcPr>
          <w:p>
            <w:pPr>
              <w:ind w:left="140"/>
              <w:spacing w:after="0"/>
              <w:rPr>
                <w:sz w:val="20"/>
                <w:szCs w:val="20"/>
                <w:color w:val="auto"/>
              </w:rPr>
            </w:pPr>
            <w:r>
              <w:rPr>
                <w:rFonts w:ascii="Arial" w:cs="Arial" w:eastAsia="Arial" w:hAnsi="Arial"/>
                <w:sz w:val="18"/>
                <w:szCs w:val="18"/>
                <w:color w:val="auto"/>
              </w:rPr>
              <w:t>Form of U.S. Tax Certificate</w:t>
            </w:r>
          </w:p>
        </w:tc>
      </w:tr>
      <w:tr>
        <w:trPr>
          <w:trHeight w:val="222"/>
        </w:trPr>
        <w:tc>
          <w:tcPr>
            <w:tcW w:w="17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360" w:type="dxa"/>
            <w:vAlign w:val="bottom"/>
          </w:tcPr>
          <w:p>
            <w:pPr>
              <w:ind w:left="140"/>
              <w:spacing w:after="0"/>
              <w:rPr>
                <w:sz w:val="20"/>
                <w:szCs w:val="20"/>
                <w:color w:val="auto"/>
              </w:rPr>
            </w:pPr>
            <w:r>
              <w:rPr>
                <w:rFonts w:ascii="Arial" w:cs="Arial" w:eastAsia="Arial" w:hAnsi="Arial"/>
                <w:sz w:val="18"/>
                <w:szCs w:val="18"/>
                <w:color w:val="auto"/>
              </w:rPr>
              <w:t>Matrix Service Company Investment Policy</w:t>
            </w:r>
          </w:p>
        </w:tc>
      </w:tr>
    </w:tbl>
    <w:p>
      <w:pPr>
        <w:sectPr>
          <w:pgSz w:w="11900" w:h="16838" w:orient="portrait"/>
          <w:cols w:equalWidth="0" w:num="1">
            <w:col w:w="11060"/>
          </w:cols>
          <w:pgMar w:left="240" w:top="280" w:right="5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 CREDIT AGREEMENT</w:t>
      </w:r>
    </w:p>
    <w:p>
      <w:pPr>
        <w:spacing w:after="0" w:line="1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AMENDED AND RESTATED CREDIT AGREEMENT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November 7, 2011, among </w:t>
      </w:r>
      <w:r>
        <w:rPr>
          <w:rFonts w:ascii="Arial" w:cs="Arial" w:eastAsia="Arial" w:hAnsi="Arial"/>
          <w:sz w:val="18"/>
          <w:szCs w:val="18"/>
          <w:b w:val="1"/>
          <w:bCs w:val="1"/>
          <w:color w:val="auto"/>
        </w:rPr>
        <w:t>MATRIX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the other</w:t>
      </w:r>
      <w:r>
        <w:rPr>
          <w:rFonts w:ascii="Arial" w:cs="Arial" w:eastAsia="Arial" w:hAnsi="Arial"/>
          <w:sz w:val="18"/>
          <w:szCs w:val="18"/>
          <w:b w:val="1"/>
          <w:bCs w:val="1"/>
          <w:color w:val="auto"/>
        </w:rPr>
        <w:t xml:space="preserve"> BORROWERS </w:t>
      </w:r>
      <w:r>
        <w:rPr>
          <w:rFonts w:ascii="Arial" w:cs="Arial" w:eastAsia="Arial" w:hAnsi="Arial"/>
          <w:sz w:val="18"/>
          <w:szCs w:val="18"/>
          <w:color w:val="auto"/>
        </w:rPr>
        <w:t>party hereto, the</w:t>
      </w:r>
      <w:r>
        <w:rPr>
          <w:rFonts w:ascii="Arial" w:cs="Arial" w:eastAsia="Arial" w:hAnsi="Arial"/>
          <w:sz w:val="18"/>
          <w:szCs w:val="18"/>
          <w:b w:val="1"/>
          <w:bCs w:val="1"/>
          <w:color w:val="auto"/>
        </w:rPr>
        <w:t xml:space="preserve"> LENDERS </w:t>
      </w:r>
      <w:r>
        <w:rPr>
          <w:rFonts w:ascii="Arial" w:cs="Arial" w:eastAsia="Arial" w:hAnsi="Arial"/>
          <w:sz w:val="18"/>
          <w:szCs w:val="18"/>
          <w:color w:val="auto"/>
        </w:rPr>
        <w:t>party hereto, and</w:t>
      </w:r>
      <w:r>
        <w:rPr>
          <w:rFonts w:ascii="Arial" w:cs="Arial" w:eastAsia="Arial" w:hAnsi="Arial"/>
          <w:sz w:val="18"/>
          <w:szCs w:val="18"/>
          <w:b w:val="1"/>
          <w:bCs w:val="1"/>
          <w:color w:val="auto"/>
        </w:rPr>
        <w:t xml:space="preserve"> JPMORGAN CHASE BANK, N.A.</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MATRIX SERVICE COMPANY</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JPMORGAN CHASE BANK, N.A.</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a Lender, Issuing Bank and Swingline Lender, and the financial institutions therein named as the Lenders, are parties to that certain Second Amended and Restated Credit Agreement dated as of November 30, 2006 (the “</w:t>
      </w:r>
      <w:r>
        <w:rPr>
          <w:rFonts w:ascii="Arial" w:cs="Arial" w:eastAsia="Arial" w:hAnsi="Arial"/>
          <w:sz w:val="18"/>
          <w:szCs w:val="18"/>
          <w:u w:val="single" w:color="auto"/>
          <w:color w:val="auto"/>
        </w:rPr>
        <w:t>Second A&amp;R Credit Agreement</w:t>
      </w:r>
      <w:r>
        <w:rPr>
          <w:rFonts w:ascii="Arial" w:cs="Arial" w:eastAsia="Arial" w:hAnsi="Arial"/>
          <w:sz w:val="18"/>
          <w:szCs w:val="18"/>
          <w:color w:val="auto"/>
        </w:rPr>
        <w:t>”), which amended and restated in its entirety the First A&amp;R Credit Agreement (as subsequently defined herein). The First A&amp;R Credit Agreement amended and restated in its entirety the Initial Credit Agreement (as subsequently defined herein).</w:t>
      </w:r>
    </w:p>
    <w:p>
      <w:pPr>
        <w:spacing w:after="0" w:line="1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 The Second A&amp;R Credit Agreement was subsequently amended by (i) that certain First Amendment to Second Amended and Restated Credit Agreement dated July 6, 2007, (ii) that certain Second Amendment to Second Amended and Restated Credit Agreement dated February 11, 2009, (iii) that certain Third Amendment to Second Amended and Restated Credit Agreement dated September 24, 2010, (iv) that certain Fourth Amendment to Second Amended and Restated Credit Agreement dated March 31, 2011, and (vi) that certain Fifth Amendment to Second Amended and Restated Credit Agreement dated July 15, 2011 (the Second A&amp;R Credit Agreement, as so amended, is hereinafter referred to as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Certain lenders under the Credit Agreement have assigned their interests and obligations as lenders thereunder to the Lenders under this Agreement.</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 The Company has requested an increase in the amount of available revolving credit and that a portion of the revolving credit be made available in Canadian Dollars to the Canadian Borrowers described herein, and the Company, Administrative Agent and the Lenders have agreed to make further amendments to the Credit Agreement and to restate and amend the Credit Agreement in its entirety, as set forth below.</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 The Borrowers, Administrative Agent and the Lenders intend that any outstanding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shall, on the Closing Date, be continued, renewed, restated and converted into Loans under this Agreement (but shall not be deemed repaid).</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 This Agreement (i) amends and completely restates the terms of the financing arrangements between the parties which prior hereto were set forth in the Credit Agreement and (ii) describes certain modifications to the existing credit arrangements between the Company and the Lenders. The purpose of this Agreement is to set forth with particularity the terms of the financing arrangements between the parties and to supersede the terms of any prior agreements inconsistent with the terms hereof. The indebtedness of the Company to the Lenders, however, is not satisfied or terminated, shall remain in full force and effect, and shall remain an outstanding obligation of the Borrowers to the Lenders as provided herein.</w:t>
      </w:r>
    </w:p>
    <w:p>
      <w:pPr>
        <w:sectPr>
          <w:pgSz w:w="11900" w:h="16838" w:orient="portrait"/>
          <w:cols w:equalWidth="0" w:num="1">
            <w:col w:w="11400"/>
          </w:cols>
          <w:pgMar w:left="240" w:top="274" w:right="25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mutual agreements, provisions and covenants contained herein, the parties hereto agree as follows: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shall have the meaning assigned to such term in Revised Article 9 of the Oklahoma Uniform Commercial Code as in effect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(i) the purchase or other acquisition (including pursuant to any merger with any Person that was not a wholly owned Subsidiary prior to such merger) of any Equity Interests of any other Person (including without limitation the acquisition of any Equity Interest in any Joint Venture) or (ii) the purchase or other acquisition (in one transaction or a series of transactions) of the assets of any other Person or division thereof constituting a business unit or ongoing business.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Documents</w:t>
      </w:r>
      <w:r>
        <w:rPr>
          <w:rFonts w:ascii="Arial" w:cs="Arial" w:eastAsia="Arial" w:hAnsi="Arial"/>
          <w:sz w:val="18"/>
          <w:szCs w:val="18"/>
          <w:color w:val="auto"/>
        </w:rPr>
        <w:t>” means the agreements, documents, and instruments executed in connection with an Acquisition.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Eurodollar Borrowing for any Interest Period, an interest rate per annum (rounded upwards, if necessary, to the next 1/16 of 1%) equal to (a) the LIBO Rate for such Interest Period multiplied by (b) the Statutory Reserve 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in its capacity as administrative agent for the Lenders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Agreement.</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Accounting Principles</w:t>
      </w:r>
      <w:r>
        <w:rPr>
          <w:rFonts w:ascii="Arial" w:cs="Arial" w:eastAsia="Arial" w:hAnsi="Arial"/>
          <w:sz w:val="18"/>
          <w:szCs w:val="18"/>
          <w:color w:val="auto"/>
        </w:rPr>
        <w:t xml:space="preserve">” means generally accepted accounting principles as in effect from time to time, applied in a manner consistent with those used in preparing the financial statements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8" w:name="page39"/>
    <w:bookmarkEnd w:id="38"/>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Aggregate Revolving Loan Commitments</w:t>
      </w:r>
      <w:r>
        <w:rPr>
          <w:rFonts w:ascii="Arial" w:cs="Arial" w:eastAsia="Arial" w:hAnsi="Arial"/>
          <w:sz w:val="18"/>
          <w:szCs w:val="18"/>
          <w:color w:val="auto"/>
        </w:rPr>
        <w:t xml:space="preserve">” means $125,000,000.00, as such amount may be increased from time to time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of this Agreement or reduced from time to time pursuant to the terms of this Agreement.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and (c) the Adjusted LIBO Rate for a one month Interest Period on such day (or if such day is not a Business Day, the immediately preceding Business Day) plus 1%, provided that, for the avoidance of doubt, for the purposes of calculating the Alternate Base Rate, the Adjusted LIBO Rate for any day shall be based on the rate appearing on the Reuters Screen LIBOR01 Page, also referred to as Reuters BBA Libor Rates Page 3750 (or on any successor or substitute page), at approximately 11:00 a.m. London time on such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2.13(i)</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(i) until financial statements are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0.75% per annum with respect to ABR Loans, 2.25% with respect to Canadian Prime Rate Loans and 1.75% per annum with respect to Eurodollar Loans and CDOR Rate Loans, and (ii) thereafter, for any day, with respect to any ABR Loan, Eurodollar Loan, Canadian Prime Rate Loan or CDOR Rate Loan, the applicable rate per annum set forth below in the chart applicable to such Loan under the caption “ABR Spread” (as to ABR Loans), “Canadian Prime Rate Spread” (as to Canadian Prime Rate Loans), “CDOR Spread” (as to CDOR Rate Loans), or “Eurodollar Spread” (as to Eurodollar Loans), based upon the Senior Leverage Ratio as of the prior fiscal quarter end:</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APPLICABLE RATE – Revolving Loans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10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9"/>
        </w:trPr>
        <w:tc>
          <w:tcPr>
            <w:tcW w:w="1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360" w:type="dxa"/>
            <w:vAlign w:val="bottom"/>
            <w:gridSpan w:val="2"/>
          </w:tcPr>
          <w:p>
            <w:pPr>
              <w:jc w:val="center"/>
              <w:ind w:right="1440"/>
              <w:spacing w:after="0" w:line="110" w:lineRule="exact"/>
              <w:rPr>
                <w:sz w:val="20"/>
                <w:szCs w:val="20"/>
                <w:color w:val="auto"/>
              </w:rPr>
            </w:pPr>
            <w:r>
              <w:rPr>
                <w:rFonts w:ascii="Arial" w:cs="Arial" w:eastAsia="Arial" w:hAnsi="Arial"/>
                <w:sz w:val="12"/>
                <w:szCs w:val="12"/>
                <w:b w:val="1"/>
                <w:bCs w:val="1"/>
                <w:color w:val="auto"/>
              </w:rPr>
              <w:t>Eurodollar</w:t>
            </w: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rPr>
              <w:t>Canadian Prime</w:t>
            </w:r>
          </w:p>
        </w:tc>
      </w:tr>
      <w:tr>
        <w:trPr>
          <w:trHeight w:val="149"/>
        </w:trPr>
        <w:tc>
          <w:tcPr>
            <w:tcW w:w="23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2"/>
              </w:rPr>
              <w:t>Senior</w:t>
            </w:r>
          </w:p>
        </w:tc>
        <w:tc>
          <w:tcPr>
            <w:tcW w:w="23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4"/>
              </w:rPr>
              <w:t>Spread</w:t>
            </w:r>
          </w:p>
        </w:tc>
        <w:tc>
          <w:tcPr>
            <w:tcW w:w="23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0"/>
              </w:rPr>
              <w:t>CDOR Spread</w:t>
            </w:r>
          </w:p>
        </w:tc>
        <w:tc>
          <w:tcPr>
            <w:tcW w:w="236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90"/>
              </w:rPr>
              <w:t>ABR Spread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Rate Spread</w:t>
            </w:r>
          </w:p>
        </w:tc>
      </w:tr>
      <w:tr>
        <w:trPr>
          <w:trHeight w:val="149"/>
        </w:trPr>
        <w:tc>
          <w:tcPr>
            <w:tcW w:w="23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4"/>
              </w:rPr>
              <w:t>Leverage</w:t>
            </w:r>
          </w:p>
        </w:tc>
        <w:tc>
          <w:tcPr>
            <w:tcW w:w="23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Applicable Rate</w:t>
            </w:r>
          </w:p>
        </w:tc>
        <w:tc>
          <w:tcPr>
            <w:tcW w:w="23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Applicable Rate</w:t>
            </w:r>
          </w:p>
        </w:tc>
        <w:tc>
          <w:tcPr>
            <w:tcW w:w="236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89"/>
              </w:rPr>
              <w:t>Applicable Rate</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Applicable Rate</w:t>
            </w:r>
          </w:p>
        </w:tc>
      </w:tr>
      <w:tr>
        <w:trPr>
          <w:trHeight w:val="161"/>
        </w:trPr>
        <w:tc>
          <w:tcPr>
            <w:tcW w:w="23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1"/>
              </w:rPr>
              <w:t>Ratio</w:t>
            </w:r>
          </w:p>
        </w:tc>
        <w:tc>
          <w:tcPr>
            <w:tcW w:w="236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1"/>
              </w:rPr>
              <w:t>(bps)</w:t>
            </w:r>
          </w:p>
        </w:tc>
        <w:tc>
          <w:tcPr>
            <w:tcW w:w="236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7"/>
              </w:rPr>
              <w:t>(bps)</w:t>
            </w:r>
          </w:p>
        </w:tc>
        <w:tc>
          <w:tcPr>
            <w:tcW w:w="236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7"/>
              </w:rPr>
              <w:t>(bps)</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(bps)</w:t>
            </w: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³ 2.00 to 1.00</w:t>
            </w:r>
          </w:p>
        </w:tc>
        <w:tc>
          <w:tcPr>
            <w:tcW w:w="1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r>
    </w:tbl>
    <w:p>
      <w:pPr>
        <w:ind w:left="460" w:right="9920" w:firstLine="7"/>
        <w:spacing w:after="0" w:line="280" w:lineRule="auto"/>
        <w:tabs>
          <w:tab w:leader="none" w:pos="6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2.00 to 1.00, but ³ 1.50 to</w:t>
      </w:r>
    </w:p>
    <w:p>
      <w:pPr>
        <w:spacing w:after="0" w:line="1" w:lineRule="exact"/>
        <w:rPr>
          <w:sz w:val="20"/>
          <w:szCs w:val="20"/>
          <w:color w:val="auto"/>
        </w:rPr>
      </w:pPr>
    </w:p>
    <w:p>
      <w:pPr>
        <w:ind w:left="460"/>
        <w:spacing w:after="0"/>
        <w:tabs>
          <w:tab w:leader="none" w:pos="3460" w:val="left"/>
          <w:tab w:leader="none" w:pos="5820" w:val="left"/>
          <w:tab w:leader="none" w:pos="8200" w:val="left"/>
          <w:tab w:leader="none" w:pos="1058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125</w:t>
      </w:r>
      <w:r>
        <w:rPr>
          <w:sz w:val="20"/>
          <w:szCs w:val="20"/>
          <w:color w:val="auto"/>
        </w:rPr>
        <w:tab/>
      </w:r>
      <w:r>
        <w:rPr>
          <w:rFonts w:ascii="Arial" w:cs="Arial" w:eastAsia="Arial" w:hAnsi="Arial"/>
          <w:sz w:val="15"/>
          <w:szCs w:val="15"/>
          <w:color w:val="auto"/>
        </w:rPr>
        <w:t>275</w:t>
      </w:r>
    </w:p>
    <w:p>
      <w:pPr>
        <w:spacing w:after="0" w:line="9" w:lineRule="exact"/>
        <w:rPr>
          <w:sz w:val="20"/>
          <w:szCs w:val="20"/>
          <w:color w:val="auto"/>
        </w:rPr>
      </w:pPr>
    </w:p>
    <w:p>
      <w:pPr>
        <w:ind w:left="460" w:right="9920" w:firstLine="7"/>
        <w:spacing w:after="0" w:line="281" w:lineRule="auto"/>
        <w:tabs>
          <w:tab w:leader="none" w:pos="6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1.50 to 1.00, but ³ 1.00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-271780</wp:posOffset>
            </wp:positionV>
            <wp:extent cx="666369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41148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0"/>
        </w:trPr>
        <w:tc>
          <w:tcPr>
            <w:tcW w:w="2000" w:type="dxa"/>
            <w:vAlign w:val="bottom"/>
          </w:tcPr>
          <w:p>
            <w:pPr>
              <w:spacing w:after="0"/>
              <w:rPr>
                <w:sz w:val="20"/>
                <w:szCs w:val="20"/>
                <w:color w:val="auto"/>
              </w:rPr>
            </w:pPr>
            <w:r>
              <w:rPr>
                <w:rFonts w:ascii="Arial" w:cs="Arial" w:eastAsia="Arial" w:hAnsi="Arial"/>
                <w:sz w:val="18"/>
                <w:szCs w:val="18"/>
                <w:color w:val="auto"/>
              </w:rPr>
              <w:t>1.00</w:t>
            </w:r>
          </w:p>
        </w:tc>
        <w:tc>
          <w:tcPr>
            <w:tcW w:w="2340" w:type="dxa"/>
            <w:vAlign w:val="bottom"/>
          </w:tcPr>
          <w:p>
            <w:pPr>
              <w:jc w:val="right"/>
              <w:ind w:right="972"/>
              <w:spacing w:after="0"/>
              <w:rPr>
                <w:sz w:val="20"/>
                <w:szCs w:val="20"/>
                <w:color w:val="auto"/>
              </w:rPr>
            </w:pPr>
            <w:r>
              <w:rPr>
                <w:rFonts w:ascii="Arial" w:cs="Arial" w:eastAsia="Arial" w:hAnsi="Arial"/>
                <w:sz w:val="18"/>
                <w:szCs w:val="18"/>
                <w:color w:val="auto"/>
              </w:rPr>
              <w:t>200</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200</w:t>
            </w:r>
          </w:p>
        </w:tc>
        <w:tc>
          <w:tcPr>
            <w:tcW w:w="2380" w:type="dxa"/>
            <w:vAlign w:val="bottom"/>
          </w:tcPr>
          <w:p>
            <w:pPr>
              <w:jc w:val="right"/>
              <w:ind w:right="972"/>
              <w:spacing w:after="0"/>
              <w:rPr>
                <w:sz w:val="20"/>
                <w:szCs w:val="20"/>
                <w:color w:val="auto"/>
              </w:rPr>
            </w:pPr>
            <w:r>
              <w:rPr>
                <w:rFonts w:ascii="Arial" w:cs="Arial" w:eastAsia="Arial" w:hAnsi="Arial"/>
                <w:sz w:val="18"/>
                <w:szCs w:val="18"/>
                <w:color w:val="auto"/>
              </w:rPr>
              <w:t>100</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&lt; 1.00 to 1.00</w:t>
            </w:r>
          </w:p>
        </w:tc>
        <w:tc>
          <w:tcPr>
            <w:tcW w:w="2340" w:type="dxa"/>
            <w:vAlign w:val="bottom"/>
          </w:tcPr>
          <w:p>
            <w:pPr>
              <w:jc w:val="right"/>
              <w:ind w:right="972"/>
              <w:spacing w:after="0"/>
              <w:rPr>
                <w:sz w:val="20"/>
                <w:szCs w:val="20"/>
                <w:color w:val="auto"/>
              </w:rPr>
            </w:pPr>
            <w:r>
              <w:rPr>
                <w:rFonts w:ascii="Arial" w:cs="Arial" w:eastAsia="Arial" w:hAnsi="Arial"/>
                <w:sz w:val="18"/>
                <w:szCs w:val="18"/>
                <w:color w:val="auto"/>
              </w:rPr>
              <w:t>175</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175</w:t>
            </w:r>
          </w:p>
        </w:tc>
        <w:tc>
          <w:tcPr>
            <w:tcW w:w="2380" w:type="dxa"/>
            <w:vAlign w:val="bottom"/>
          </w:tcPr>
          <w:p>
            <w:pPr>
              <w:jc w:val="right"/>
              <w:ind w:right="972"/>
              <w:spacing w:after="0"/>
              <w:rPr>
                <w:sz w:val="20"/>
                <w:szCs w:val="20"/>
                <w:color w:val="auto"/>
              </w:rPr>
            </w:pPr>
            <w:r>
              <w:rPr>
                <w:rFonts w:ascii="Arial" w:cs="Arial" w:eastAsia="Arial" w:hAnsi="Arial"/>
                <w:sz w:val="18"/>
                <w:szCs w:val="18"/>
                <w:color w:val="auto"/>
              </w:rPr>
              <w:t>75</w:t>
            </w: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r>
    </w:tbl>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Applicable Rate shall be determined in accordance with the foregoing table based on the Senior Leverage Ratio as reflected in the then most recent financial statements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Adjustments, if any, to the Applicable Rate shall be effective on the Margin Adjustment Date. If the Company fails to deliver the financial statements to the Administrative Agent at the time required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then the Applicable Rate shall be the highest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Rate set forth in the foregoing table until five (5) Business Days after such financial statements are so delivered.</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Revolving Loan Percentage</w:t>
      </w:r>
      <w:r>
        <w:rPr>
          <w:rFonts w:ascii="Arial" w:cs="Arial" w:eastAsia="Arial" w:hAnsi="Arial"/>
          <w:sz w:val="16"/>
          <w:szCs w:val="16"/>
          <w:color w:val="auto"/>
        </w:rPr>
        <w:t>” means, with respect to any Lender, the percentage of the Aggregate Revolving Loan Commitments represented by such Lender’s Revolving Loan Commitment. If the Revolving Loan Commitments have terminated or expired, the Applicable Revolving Loan Percentages shall be determined based upon the Revolving Loan Commitments most recently in effect, giving effect to any assignments.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Counterparty</w:t>
      </w:r>
      <w:r>
        <w:rPr>
          <w:rFonts w:ascii="Arial" w:cs="Arial" w:eastAsia="Arial" w:hAnsi="Arial"/>
          <w:sz w:val="18"/>
          <w:szCs w:val="18"/>
          <w:color w:val="auto"/>
        </w:rPr>
        <w:t>” means any Lender or any Affiliate of a Lender.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Foreign Bank</w:t>
      </w:r>
      <w:r>
        <w:rPr>
          <w:rFonts w:ascii="Arial" w:cs="Arial" w:eastAsia="Arial" w:hAnsi="Arial"/>
          <w:sz w:val="18"/>
          <w:szCs w:val="18"/>
          <w:color w:val="auto"/>
        </w:rPr>
        <w:t>” means an “authorized foreign bank” as defined for the purposes of the ITA.</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xml:space="preserve">” means (i) as to the Company, the President or any Vice President or any other officer of the Company who is designated as an authorized officer in the certificate delivered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who is otherwise designated as such in a written certificate delivered by the Company to the Administrative Agent, and (ii) as to any other Credit Party, the President or any Vice President of such Credit Party or any other officer of such Credit Party who is designated as an authorized officer in the certificate delivered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who is otherwise designated as such in a written certificate delivered by such Credit Party to the Administrative Agent.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means, at any time, the difference between the Aggregate Revolving Loan Commitments and the aggregate Revolving Credit Exposure of all the Lenders.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Closing Date to but excluding the earlier of the Revolving Credit Termination Date and the date of termination of the Revolving Loan Commitments.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individually or collectively, the Company and the Canadian Borrowers.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CDOR Rate Loans or Eurodollar Loans, as to which a single Interest Period is in effect, or (b) a Swingline Loan.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Company for a Revolving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0" w:name="page41"/>
    <w:bookmarkEnd w:id="40"/>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Toronto and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US Dollar deposits in the London interbank market.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Benefit Plans</w:t>
      </w:r>
      <w:r>
        <w:rPr>
          <w:rFonts w:ascii="Arial" w:cs="Arial" w:eastAsia="Arial" w:hAnsi="Arial"/>
          <w:sz w:val="16"/>
          <w:szCs w:val="16"/>
          <w:color w:val="auto"/>
        </w:rPr>
        <w:t>” means all material employee benefit plans or arrangements subject to the application of any Canadian benefit plan statutes or regulations that are maintained or contributed to by the Company or any of its Subsidiaries that are not Canadian Pension Plans, including all profit sharing, savings, supplemental retirement, retiring allowance, severance, pension, deferred compensation, welfare, bonus, incentive compensation, phantom stock, legal services, supplementary unemployment benefit plans or arrangements and all life, health, dental and disability plans and arrangements in which the employees or former employees of the Company or any of its Subsidiaries participate or are eligible to participate but excluding all stock option or stock purchase plans.</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w:t>
      </w:r>
      <w:r>
        <w:rPr>
          <w:rFonts w:ascii="Arial" w:cs="Arial" w:eastAsia="Arial" w:hAnsi="Arial"/>
          <w:sz w:val="18"/>
          <w:szCs w:val="18"/>
          <w:color w:val="auto"/>
        </w:rPr>
        <w:t>” means, individually or collectively, Matrix Service Inc., an Ontario Canada corporation, Matrix Service Canada ULC, an Alberta unlimited liability corporation, and Matrix Service Industrial Contractors ULC, a Nova Scotia unlimited liability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Dollar Loan</w:t>
      </w:r>
      <w:r>
        <w:rPr>
          <w:rFonts w:ascii="Arial" w:cs="Arial" w:eastAsia="Arial" w:hAnsi="Arial"/>
          <w:sz w:val="16"/>
          <w:szCs w:val="16"/>
          <w:color w:val="auto"/>
        </w:rPr>
        <w:t>” means any Loan denominated in Canadian Dollars and bearing interest at rate based upon the Canadian Prime Rate or the CDOR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Cdn $</w:t>
      </w:r>
      <w:r>
        <w:rPr>
          <w:rFonts w:ascii="Arial" w:cs="Arial" w:eastAsia="Arial" w:hAnsi="Arial"/>
          <w:sz w:val="18"/>
          <w:szCs w:val="18"/>
          <w:color w:val="auto"/>
        </w:rPr>
        <w:t>” shall mean the lawful currency of Canada.</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means all plans or arrangements which are considered to be pension plans under, and are subject to the application of, any applicable pension benefits standards statute or regulation in Canada established, maintained or contributed to by the Company or any of its Subsidiaries for its employees or former employees.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means, for any period, the rate per annum determined by the Administrative Agent to be the greater of (i) the rate of interest per annum most recently announced or established by JPMorgan Chase Bank, N.A., Toronto Branch as its reference rate in effect on such day for determining interest rates for Canadian Dollar denominated commercial loans in Canada and commonly known as “prime rate” (or its equivalent or analogous such rate), such rate not being intended to be the lowest rate of interest charged by JPMorgan Chase Bank, N.A., Toronto Branch and (ii) the sum of (a) the yearly interest rate to which the one-month CDOR Rate is equivalent plus (b) one percent (1.0%).</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without duplication, any expenditures for any purchase or other acquisition of any asset which would be classified as a fixed or capital asset on a consolidated balance sheet of the Company and its Subsidiaries prepared in accordance with Agreement Accounting Principles excluding</w:t>
      </w:r>
    </w:p>
    <w:p>
      <w:pPr>
        <w:ind w:left="220" w:hanging="212"/>
        <w:spacing w:after="0"/>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assets acquired with Capital Lease Obligations, (ii) expenditures of insurance proceeds to rebuild or replace any asset after a casualty loss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leasehold improvement expenditures for which the Company or a Subsidiary is reimbursed promptly by the lessor.</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1" w:name="page42"/>
    <w:bookmarkEnd w:id="41"/>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any lease of (or other arrangement conveying the right to use) real or personal property, or a combination thereof, as to which the obligations of a Person who is lessee thereunder are required to be classified and accounted for as a capital lease on a balance sheet of such Person under GAAP.</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CDOR Rate.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means, for the relevant Interest Period, the Canadian deposit offered rate which, in turn means on any day the sum of (a) the annual rate of interest determined with reference to the arithmetic average of the discount rate quotations of all institutions listed in respect of the relevant Interest Period for Canadian Dollar-denominated bankers’ acceptances displayed and identified as such on the “Reuters Screen CDOR Page” as defined in the International Swaps and Derivatives Association definitions, as modified and amended from time to time, as of 10:00 a.m. Toronto local time on such day and, if such day is not a Business Day, then on the immediately preceding Business Day (as adjusted by the Administrative Agent after 10:00 a.m. Toronto local time to reflect any error in the posted rate of interest or in the posted average annual rate of interest) plus (b) 0.10% per annum; provided that if such rates are not available on the Reuters Screen CDOR Page on any particular day, then the Canadian deposit offered rate component of such rate on that day shall be calculated as the cost of funds quoted by the Administrative Agent to raise Canadian Dollars for the applicable Interest Period as of 10:00 a.m. Toronto local time on such day for commercial loans or other extensions of credit to businesses of comparable credit risk; or if such day is not a Business Day, then as quoted by the Administrative Agent on the immediately preceding Business Day.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CDOR Rate Loan</w:t>
      </w:r>
      <w:r>
        <w:rPr>
          <w:rFonts w:ascii="Arial" w:cs="Arial" w:eastAsia="Arial" w:hAnsi="Arial"/>
          <w:sz w:val="15"/>
          <w:szCs w:val="15"/>
          <w:color w:val="auto"/>
        </w:rPr>
        <w:t>” means a Loan denominated in Canadian Dollars made by the Lenders to a Borrower which bears interest at a rate based on the CDOR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the acquisition by any Person, or two or more Persons acting in concert, of beneficial ownership (within the meaning of Rule 13d-3 of the Securities and Exchange Commission under the Securities Exchange Act of 1934) of more than 35% of the outstanding shares of voting stock of the Company or (ii) occupation of a majority of the seats (excluding vacant seats) on the board of directors of the Company by Persons who were neither (a) nominated by the board of directors of the Company nor (b) appointed by directors so nominated.</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regulation or treaty after the date of this Agreement, (b) any change in any law, rule, regulation or treaty or in the interpretation or application thereof by any Governmental Authority after the date of this Agreement or (c) 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date of this Agreement; provided however, that notwithstanding anything herein to the contrary, the Dodd-Frank Wall Street Reform and Consumer Protection Act and all requests, rules, guidelines, requirements and directives thereunder, issued in connection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therewith or in implementation thereof, shall be deemed to be a “Change in “Law”, regardless of the date enacted, adopted, issued or implemented.</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any and all assets and rights and interests in or to property of the Company and each of the other Credit Parties in which a Lien is granted or purported to be granted pursuant to the Collateral Documents.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Agreements, Mortgages and the Subsidiary Guaranties and such other documents, agreements, instruments and certificates that are provided pursuant to </w:t>
      </w:r>
      <w:r>
        <w:rPr>
          <w:rFonts w:ascii="Arial" w:cs="Arial" w:eastAsia="Arial" w:hAnsi="Arial"/>
          <w:sz w:val="18"/>
          <w:szCs w:val="18"/>
          <w:u w:val="single" w:color="auto"/>
          <w:color w:val="auto"/>
        </w:rPr>
        <w:t>Section 4.01(h)</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Matrix Service Company,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5.01(c)</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means, with reference to any period, Consolidated Net Income for such period (i) plus, to the extent deducted in calculating Consolidated Net Income for such period, (A) Consolidated Interest Expense, (B) expense for income taxes paid or accrued, (C) depreciation, amortization and other non-cash charges (including but not limited to non-cash compensation expense recorded in accordance with ASC 718), (D) losses on sales of fixed assets,</w:t>
      </w:r>
    </w:p>
    <w:p>
      <w:pPr>
        <w:spacing w:after="0" w:line="1" w:lineRule="exact"/>
        <w:rPr>
          <w:sz w:val="20"/>
          <w:szCs w:val="20"/>
          <w:color w:val="auto"/>
        </w:rPr>
      </w:pPr>
    </w:p>
    <w:p>
      <w:pPr>
        <w:ind w:right="40" w:firstLine="8"/>
        <w:spacing w:after="0" w:line="281" w:lineRule="auto"/>
        <w:tabs>
          <w:tab w:leader="none" w:pos="2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losses arising from the early extinguishment of Indebtedness, and (F) extraordinary losses incurred other than in the ordinary course of business, (ii) minus, to the extent included in Consolidated Net Income, (A) gains on sales of fixed assets, (B) gains arising from the early extinguishment of Indebtedness, and</w:t>
      </w:r>
    </w:p>
    <w:p>
      <w:pPr>
        <w:spacing w:after="0" w:line="1" w:lineRule="exact"/>
        <w:rPr>
          <w:rFonts w:ascii="Arial" w:cs="Arial" w:eastAsia="Arial" w:hAnsi="Arial"/>
          <w:sz w:val="16"/>
          <w:szCs w:val="16"/>
          <w:color w:val="auto"/>
        </w:rPr>
      </w:pPr>
    </w:p>
    <w:p>
      <w:pPr>
        <w:ind w:firstLine="8"/>
        <w:spacing w:after="0" w:line="287" w:lineRule="auto"/>
        <w:tabs>
          <w:tab w:leader="none" w:pos="2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extraordinary gains realized other than in the ordinary course of business, all calculated for the Company and its Subsidiaries on a consolidated basis without duplication and (iii) minus, to the extent included in calculating Consolidated Net Income for such period, any Joint Venture Non-Cash Income for such period. Notwithstanding the foregoing, with respect to any rolling four quarter period during which a Permitted Acquisition has occurred, for purposes of determining compliance with the Senior Leverage Ratio or Fixed Charge Coverage Ratio, Consolidated EBITDA shall be calculated pro forma (without duplication) as if the acquired Entity or business had been owned during the entire four quarter period, on the basis of (x) the historical financial statements of any Entity or business so acquired, and (y) the assumption that the consolidated financial statements of the Company and its Subsidiaries have been reformulated as if such Permitted Acquisition, and any Indebtedness incurred or repaid in connection therewith, had been consummated or incurred or repaid at the beginning of the relevant four quarter period (and assuming that such Indebtedness bears interest during any portion of the applicable measurement period prior to the relevant Acquisition at the weighted average of the interest rates applicable to such Indebtedness) outstanding during such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for the Company and its Subsidiaries on a consolidated basis, the sum of the following (without duplication):</w:t>
      </w:r>
    </w:p>
    <w:p>
      <w:pPr>
        <w:spacing w:after="0" w:line="38" w:lineRule="exact"/>
        <w:rPr>
          <w:sz w:val="20"/>
          <w:szCs w:val="20"/>
          <w:color w:val="auto"/>
        </w:rPr>
      </w:pPr>
    </w:p>
    <w:p>
      <w:pPr>
        <w:jc w:val="both"/>
        <w:ind w:right="260" w:firstLine="8"/>
        <w:spacing w:after="0" w:line="302"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Indebtedness for borrowed money, (ii) all Indebtedness for the deferred purchase price of property or services, (iii) all Indebtedness evidenced by a note, acceptance or other like instrument, (iv) all Capital Lease Obligations, and (v) the aggregate undrawn and available amount of all outstanding Letters of Credit except those issued to insurance providers based on expected losses on worker’s compensation obligations.</w:t>
      </w:r>
    </w:p>
    <w:p>
      <w:pPr>
        <w:spacing w:after="0" w:line="10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reference to any applicable fiscal quarter or fiscal year period, the interest expense of the Company and its Subsidiaries calculated on a consolidated basis for such applicable period.</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reference to any period, the net income (or loss) of the Company and its Subsidiaries calculated on a consolidated basis for such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Controlled Group</w:t>
      </w:r>
      <w:r>
        <w:rPr>
          <w:rFonts w:ascii="Arial" w:cs="Arial" w:eastAsia="Arial" w:hAnsi="Arial"/>
          <w:sz w:val="15"/>
          <w:szCs w:val="15"/>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assigned to such term in the Recitals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Company, any other Borrower, or any Guarantor.</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as determined by the Administrative Agent, that has (a) failed to fund any portion of its Loans or participations in Letters of Credit or Swingline Loans within three Business Days of the date required to be funded by it hereunder, (b) notified any Borrower, the Administrative Agent, the Issuing Bank, the Swingline Lender or any Lender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Business Days after request by the Administrative Agent, to confirm that it will comply with the terms of this Agreement relating to its obligations to fund prospective Loans and participations in then outstanding Letters of Credit and Swingline Loans, (d) otherwise failed to pay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4" w:name="page45"/>
    <w:bookmarkEnd w:id="4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 to the Administrative Agent or any other Lender any other amount required to be paid by it hereunder within three Business Days of the date when due, unless the subject of a good faith dispute, or (e) (i) become or is insolvent or has a parent company that has become or is insolvent or (ii)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The term “Defaulting Lender” shall also include any Designating Lender whose Designated Lender is a Defaulting Lender.</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Lender</w:t>
      </w:r>
      <w:r>
        <w:rPr>
          <w:rFonts w:ascii="Arial" w:cs="Arial" w:eastAsia="Arial" w:hAnsi="Arial"/>
          <w:sz w:val="18"/>
          <w:szCs w:val="18"/>
          <w:color w:val="auto"/>
        </w:rPr>
        <w:t xml:space="preserve">” means a Person that is to make Canadian Dollar Loans and (i) is identified as a Designated Lender on the signature pages hereto or (ii) shall have become a party to this Agreement pursuant to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and is not otherwise a Lender.</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Designating Lender</w:t>
      </w:r>
      <w:r>
        <w:rPr>
          <w:rFonts w:ascii="Arial" w:cs="Arial" w:eastAsia="Arial" w:hAnsi="Arial"/>
          <w:sz w:val="18"/>
          <w:szCs w:val="18"/>
          <w:color w:val="auto"/>
        </w:rPr>
        <w:t xml:space="preserve">” means a each Lender that is identified as such on the signature pages hereto and immediately below the signature of its Designated Lender as well as each Lender that shall designate a Designated Lender pursuant to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means and includes, in respect of any corporation, partnership, limited liability company, association or other business entity: (i) dividends or other distributions or payments on capital stock or other Equity Interests in such corporation, partnership, limited liability company, association or other business entity (except distributions in such stock or other Equity Interest); and (ii) the redemption, repurchase, retirement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in council, orders, decrees, judgments, injunctions, notices or binding agreements issued, promulgated or entered into by any Governmental Authority, relating in any way to the environment, preservation or reclamation of natural resources, or the management, presence, release or threatened release of any Hazardous Material.</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consensual arrangement pursuant to which liability is assumed or imposed with respect to any of the foregoing.</w:t>
      </w:r>
    </w:p>
    <w:p>
      <w:pPr>
        <w:spacing w:after="0" w:line="171"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Equivalent Amount</w:t>
      </w:r>
      <w:r>
        <w:rPr>
          <w:rFonts w:ascii="Arial" w:cs="Arial" w:eastAsia="Arial" w:hAnsi="Arial"/>
          <w:sz w:val="16"/>
          <w:szCs w:val="16"/>
          <w:color w:val="auto"/>
        </w:rPr>
        <w:t>” means, on any date of determination, with respect to obligations or valuations denominated in one currency (the “first currency”), the amount of another currency (the “second currency”) which would result from the conversion of the relevant amount of the first currency into the second currency at the 12:00 noon rate quoted by Bloomberg on www.bloomberg.com/markets/currencies/fxc.html (Page BOFC or such other Page as may replace such Page for the purpose of displaying such exchange rates) on such date or, if such date is not a Business Day, on the Business Day immediately preceding such date of determination, or at such other rate as may have been agreed in writing between the Company and Administrative Agent.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 or (b) any other event, condition, course of action or inaction, or circumstance with respect to any employee benefit plan as defined in Section 3(3) or ERISA of which the Company or an ERISA Affiliate is an “employer” which has established or maintained such plan, or is otherwise the employer in relation to it as described and defined in Section 3(5) of ERISA, which materially reduces, limits, prevents or ceases compliance of such employee benefit plan with ERISA, the Code or other applicable laws and regulations.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any payment made by any Credit Party under any Loan Document, any of the following Taxes imposed on or with respect to a Recipient: (a) income or franchise Taxes imposed on (or measured by)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Taxes imposed by any other jurisdiction in which the Company is located and (c) in the case of a Foreign Lender (other than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6" w:name="page47"/>
    <w:bookmarkEnd w:id="46"/>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assignee pursuant to a request by the Company under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any U.S. Federal withholding Taxes resulting from any law in effect (including FATCA) on the date such Non U.S. Lender becomes a party to this Agreement (or designates a new lending office) or is attributable to such Non U.S. Lender’s failure to comply with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except to the extent that such Non U.S. Lender (or its assignor, if any) was entitled, at the time of designation of a new lending office (or assignment), to receive additional amounts from the Company with respect to such withholding Taxes pursuant to </w:t>
      </w:r>
      <w:r>
        <w:rPr>
          <w:rFonts w:ascii="Arial" w:cs="Arial" w:eastAsia="Arial" w:hAnsi="Arial"/>
          <w:sz w:val="16"/>
          <w:szCs w:val="16"/>
          <w:u w:val="single" w:color="auto"/>
          <w:color w:val="auto"/>
        </w:rPr>
        <w:t>Section 2.17(a)</w:t>
      </w:r>
      <w:r>
        <w:rPr>
          <w:rFonts w:ascii="Arial" w:cs="Arial" w:eastAsia="Arial" w:hAnsi="Arial"/>
          <w:sz w:val="16"/>
          <w:szCs w:val="16"/>
          <w:color w:val="auto"/>
        </w:rPr>
        <w:t>.</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Facility LC</w:t>
      </w:r>
      <w:r>
        <w:rPr>
          <w:rFonts w:ascii="Arial" w:cs="Arial" w:eastAsia="Arial" w:hAnsi="Arial"/>
          <w:sz w:val="18"/>
          <w:szCs w:val="18"/>
          <w:color w:val="auto"/>
        </w:rPr>
        <w:t xml:space="preserve">” means any “Facility LC” issued under the Credit Agreement that is outstanding as of the Closing Date;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is a list and brief description of the Existing Facility LCs.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Guarantees</w:t>
      </w:r>
      <w:r>
        <w:rPr>
          <w:rFonts w:ascii="Arial" w:cs="Arial" w:eastAsia="Arial" w:hAnsi="Arial"/>
          <w:sz w:val="18"/>
          <w:szCs w:val="18"/>
          <w:color w:val="auto"/>
        </w:rPr>
        <w:t xml:space="preserve">” means those certain Subsidiary Guaranty agreements described on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all in favor of the Administrative Agent for the ratable benefit of the Lenders, as they may be ratified, amended or modified and in effect from time to time.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Security Agreements</w:t>
      </w:r>
      <w:r>
        <w:rPr>
          <w:rFonts w:ascii="Arial" w:cs="Arial" w:eastAsia="Arial" w:hAnsi="Arial"/>
          <w:sz w:val="18"/>
          <w:szCs w:val="18"/>
          <w:color w:val="auto"/>
        </w:rPr>
        <w:t xml:space="preserve">” means those certain Pledge and Security Agreements or similar agreements listed on the attached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executed by the Guarantors in favor of the Administrative Agent for the ratable benefit of the Lenders, as they may be ratified, amended or modified and in effect from time to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LC</w:t>
      </w:r>
      <w:r>
        <w:rPr>
          <w:rFonts w:ascii="Arial" w:cs="Arial" w:eastAsia="Arial" w:hAnsi="Arial"/>
          <w:sz w:val="18"/>
          <w:szCs w:val="18"/>
          <w:color w:val="auto"/>
        </w:rPr>
        <w:t>” means any standby or commercial Letter of Credit issued pursuant to this Agreement and any Existing Facility 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and any regulations or official interpretations thereof.</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Company.</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A&amp;R Credit Agreement</w:t>
      </w:r>
      <w:r>
        <w:rPr>
          <w:rFonts w:ascii="Arial" w:cs="Arial" w:eastAsia="Arial" w:hAnsi="Arial"/>
          <w:sz w:val="16"/>
          <w:szCs w:val="16"/>
          <w:color w:val="auto"/>
        </w:rPr>
        <w:t>” means that certain Amended and Restated Credit Agreement dated as of December 20, 2005 between the Company, JPMorgan Chase Bank, N.A. as Administrative Agent, a Lender and Issuing Bank, and the other financial institutions therein named as the Lenders, as amended by that certain First Amendment to Amended and Restated Credit Agreement dated as of October 17, 2006.</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means, as of the last day of any fiscal quarter, the ratio determined as follows (with all calculations to be made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Subsidiaries in accordance with GAAP on a consolidated basis):</w:t>
      </w:r>
    </w:p>
    <w:p>
      <w:pPr>
        <w:spacing w:after="0" w:line="84" w:lineRule="exact"/>
        <w:rPr>
          <w:sz w:val="20"/>
          <w:szCs w:val="20"/>
          <w:color w:val="auto"/>
        </w:rPr>
      </w:pPr>
    </w:p>
    <w:p>
      <w:pPr>
        <w:jc w:val="center"/>
        <w:ind w:left="720" w:right="440"/>
        <w:spacing w:after="0" w:line="440"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 Consolidated EBITDA for the previous four fiscal quarters ending on such day less all Capital Expenditures and Distributions (not</w:t>
      </w:r>
      <w:r>
        <w:rPr>
          <w:rFonts w:ascii="Arial" w:cs="Arial" w:eastAsia="Arial" w:hAnsi="Arial"/>
          <w:sz w:val="18"/>
          <w:szCs w:val="18"/>
          <w:i w:val="1"/>
          <w:iCs w:val="1"/>
          <w:color w:val="auto"/>
        </w:rPr>
        <w:t xml:space="preserve"> </w:t>
      </w: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7" w:name="page48"/>
    <w:bookmarkEnd w:id="47"/>
    <w:p>
      <w:pPr>
        <w:ind w:left="92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Distributions made pursuant to and in accordance with stock incentive plans, employee stock purchase plans or other benefit plans for management or employees of the Company and its Subsidiaries) by the Company during the same period.</w:t>
      </w:r>
    </w:p>
    <w:p>
      <w:pPr>
        <w:spacing w:after="0" w:line="51" w:lineRule="exact"/>
        <w:rPr>
          <w:sz w:val="20"/>
          <w:szCs w:val="20"/>
          <w:color w:val="auto"/>
        </w:rPr>
      </w:pPr>
    </w:p>
    <w:p>
      <w:pPr>
        <w:ind w:left="920" w:right="400"/>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 (i) net cash taxes paid for the previous four fiscal quarters ending on such day, (ii) PLUS scheduled current maturities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for the next four fiscal quarters, (iii) PLUS Consolidated Interest Expense for the previous four fiscal quarters ending on such day (excluding amounts included in Consolidated Interest Expense for amortization of deferred financing fees).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Company (or the relevant Canadian Borrower, as applicable) is located. For purposes of this definition, (i) the United States of America, each State thereof and the District of Columbia shall be deemed to constitute a single jurisdiction, (ii) Canada, and each province or territory therein, shall be deemed to constitute a single jurisdiction, and (iii) a Lender that has designated a Canadian lending office in respect of Loans made to a Canadian Borrower, or that is an Authorized Foreign Bank, shall be deemed to be organized under the laws of the jurisdiction in which the Canadian Borrower is located.</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(other than Matrix Service Inc., an Ontario, Canada corporation, Matrix Service Industrial Contractors ULC, a Nova Scotia, Canada unlimited liability corporation, and Matrix Service ULC, an Alberta, Canada unlimited liability corporation) that is organized under the laws of a jurisdiction outside the United States of America.</w:t>
      </w:r>
    </w:p>
    <w:p>
      <w:pPr>
        <w:spacing w:after="0" w:line="140"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Subsidiary EBITDA</w:t>
      </w:r>
      <w:r>
        <w:rPr>
          <w:rFonts w:ascii="Arial" w:cs="Arial" w:eastAsia="Arial" w:hAnsi="Arial"/>
          <w:sz w:val="15"/>
          <w:szCs w:val="15"/>
          <w:color w:val="auto"/>
        </w:rPr>
        <w:t>” means, with reference to any period, the combined net income of all Foreign Subsidiaries for such period (i) plus, to the extent deducted in calculating net income for such period, (A) interest expense, (B) expense for income taxes paid or accrued, (C) depreciation, amortization and other non-cash charges (including but not limited to non-cash compensation expense recorded in accordance with ASC 718), (D) losses on sales of fixed assets,</w:t>
      </w:r>
    </w:p>
    <w:p>
      <w:pPr>
        <w:spacing w:after="0" w:line="1" w:lineRule="exact"/>
        <w:rPr>
          <w:sz w:val="20"/>
          <w:szCs w:val="20"/>
          <w:color w:val="auto"/>
        </w:rPr>
      </w:pPr>
    </w:p>
    <w:p>
      <w:pPr>
        <w:jc w:val="both"/>
        <w:ind w:right="20" w:firstLine="8"/>
        <w:spacing w:after="0" w:line="254"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arising from the early extinguishment of Indebtedness, and (F) extraordinary losses incurred other than in the ordinary course of business, (ii) minus, to the extent included in net income, (A) gains on sales of fixed assets, (B) gains arising from the early extinguishment of Indebtedness, and (C) extraordinary gains realized other than in the ordinary course of business, (iii) minus, to the extent included in calculating net income for such period, any Joint Venture Non-Cash Income for such period.</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Bank Debt</w:t>
      </w:r>
      <w:r>
        <w:rPr>
          <w:rFonts w:ascii="Arial" w:cs="Arial" w:eastAsia="Arial" w:hAnsi="Arial"/>
          <w:sz w:val="18"/>
          <w:szCs w:val="18"/>
          <w:color w:val="auto"/>
        </w:rPr>
        <w:t>” on any particular date shall mean the sum of the following as of such date: (i) the aggregate outstanding principal amount of all Revolving Loans, (ii) the aggregate outstanding principal amount of all Swingline Loans and (iii) the aggregate outstanding amount of all LC Reimbursement Obligations.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Canada, any other nation or any political subdivision thereof, whether provincial, territorial, state or local, and any agency, authority, instrumentality, regulatory body, court, central bank or other entity exercising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legislative, judicial, taxing, regulatory or administrative powers or functions of or pertaining to government.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18"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(i) those Persons who are guarantors under the Existing Guarantees and (ii) all other Persons who may execute in favor of the Administrative Agent, for the benefit of the Lenders, either any Guarantee in respect of any or all of the Obligations in form acceptable to the Lenders or a ratification and joinder of an Existing Guarantee in form acceptable to the Lenders.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contaminants,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means a Lender that agrees to increase its Revolving Loan Commitment in accordance with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a new Lender that becomes party to this Agreement pursuant to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(excluding current accounts payable incurred in the ordinary course of business),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49" w:name="page50"/>
    <w:bookmarkEnd w:id="4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liable therefor as a result of such Person’s ownership interest in or other relationship with such entity, except to the extent the terms of such Indebtedness provide that such Person is not liable therefor.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Credit Agreement</w:t>
      </w:r>
      <w:r>
        <w:rPr>
          <w:rFonts w:ascii="Arial" w:cs="Arial" w:eastAsia="Arial" w:hAnsi="Arial"/>
          <w:sz w:val="16"/>
          <w:szCs w:val="16"/>
          <w:color w:val="auto"/>
        </w:rPr>
        <w:t>” means that certain Credit Agreement dated as of March 7, 2003, between the Company, JPMorgan Chase Bank, N.A. as Administrative Agent, a Lender and Issuing Bank, and the other financial institutions therein named as the Lenders, as amended by that certain Amendment One to Credit Agreement dated as of May 22, 2003, as further amended by that certain Amendment Two to Credit Agreement dated as of August 22, 2003, as further amended by that certain Amendment Three to Credit Agreement dated as of August 23, 2003, as further amended by that certain Amendment Four to Credit Agreement dated as of March 11, 2004, as further amended by that certain Amendment Five to Credit Agreement dated as of May 6, 2004, as further amended by that certain Amendment Six to Credit Agreement dated as of August 5, 2004, as further amended by that certain Amendment Seven to Credit Agreement dated as of October 6, 2004, as further amended by that certain Amendment Eight to Credit Agreement dated as of November 30, 2004, as further amended by that certain Amendment Nine to Credit Agreement dated as of April 22, 2005, and as further amended by that certain Amendment Ten to Credit Agreement dated as of August 10, 2005.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Company to convert or continue a Revolving Borrowing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w:t>
      </w:r>
    </w:p>
    <w:p>
      <w:pPr>
        <w:spacing w:after="0" w:line="194"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Canadian Prime Rate Loan or any ABR Loan (other than a Swingline Loan), the last day of each March, June, September and December, (b) with respect to any CDOR Rate Loan or any Eurodollar Loan, the last day of the Interest Period applicable to the Borrowing of which such Loan is a part and, in the case of a CDOR Borrowing or Eurodollar Borrowing with an Interest Period of more than three months’ duration, each day prior to the last day of such Interest Period that occurs at intervals of three months’ duration after the first day of such Interest Period, and (c) with respect to any Swingline Loan, the last day of the month that such Loan is required to be repaid.</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 with respect to any Eurodollar Borrowing, the period commencing on the date of such Borrowing and ending on the numerically corresponding day in the calendar month that is one, two, three or six months thereafter, as the Company may elect and (b) with respect to any CDOR Borrowing, the period commencing on the date of such Borrowing and ending on the date which is 30, 60 or 90 days thereafter, as the Company may elect provided, that (i)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(i) the date of a Revolving Borrowing initially shall be the date on which such Borrowing is made, and (ii) thereafter the initial date of the Interest Period shall be the effective date of the most recent conversion or continuation of such Borrowing.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0" w:name="page51"/>
    <w:bookmarkEnd w:id="50"/>
    <w:p>
      <w:pPr>
        <w:ind w:left="460" w:right="120"/>
        <w:spacing w:after="0" w:line="3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Inventory</w:t>
      </w:r>
      <w:r>
        <w:rPr>
          <w:rFonts w:ascii="Arial" w:cs="Arial" w:eastAsia="Arial" w:hAnsi="Arial"/>
          <w:sz w:val="16"/>
          <w:szCs w:val="16"/>
          <w:color w:val="auto"/>
        </w:rPr>
        <w:t>” shall have the meaning assigned to such term in Revised Article 9 of the Oklahoma Uniform Commercial Code as in effect from time to time. “</w:t>
      </w:r>
      <w:r>
        <w:rPr>
          <w:rFonts w:ascii="Arial" w:cs="Arial" w:eastAsia="Arial" w:hAnsi="Arial"/>
          <w:sz w:val="16"/>
          <w:szCs w:val="16"/>
          <w:u w:val="single" w:color="auto"/>
          <w:color w:val="auto"/>
        </w:rPr>
        <w:t>Issuing Bank</w:t>
      </w:r>
      <w:r>
        <w:rPr>
          <w:rFonts w:ascii="Arial" w:cs="Arial" w:eastAsia="Arial" w:hAnsi="Arial"/>
          <w:sz w:val="16"/>
          <w:szCs w:val="16"/>
          <w:color w:val="auto"/>
        </w:rPr>
        <w:t>” means JPMorgan Chase, in its capacity as the issuer of Facility LCs hereunder, and its successors in such capacity as provided in</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u w:val="single" w:color="auto"/>
          <w:color w:val="auto"/>
        </w:rPr>
        <w:t>Section 2.06(i)</w:t>
      </w:r>
      <w:r>
        <w:rPr>
          <w:rFonts w:ascii="Arial" w:cs="Arial" w:eastAsia="Arial" w:hAnsi="Arial"/>
          <w:sz w:val="18"/>
          <w:szCs w:val="18"/>
          <w:color w:val="auto"/>
        </w:rPr>
        <w:t>. The Issuing Bank may, in its discretion, arrange for one or more Facility LCs to be issued by Affiliates of the Issuing Bank, in which case the term “Issuing Bank” shall include any such Affiliate with respect to Facility LCs issued by such Affiliate.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amended from time to time (or any successor statute).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Person (other than a natural person or Governmental Authority) that is (i) formed to be or represents a joint venture between the Company or one of its Subsidiaries and other Person(s) (regardless of the type of entity used), and (ii) formed for the purpose of bidding for, undertaking or handling specific projects or for the purpose of acquiring Equity Interests of any other Person.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Non-Cash Income</w:t>
      </w:r>
      <w:r>
        <w:rPr>
          <w:rFonts w:ascii="Arial" w:cs="Arial" w:eastAsia="Arial" w:hAnsi="Arial"/>
          <w:sz w:val="18"/>
          <w:szCs w:val="18"/>
          <w:color w:val="auto"/>
        </w:rPr>
        <w:t>” means the non-cash portion (as to the Company or the applicable Subsidiary of the Company) of any income included in the Company’s Consolidated Net Income that is generated by a Joint Venture.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 Chase</w:t>
      </w:r>
      <w:r>
        <w:rPr>
          <w:rFonts w:ascii="Arial" w:cs="Arial" w:eastAsia="Arial" w:hAnsi="Arial"/>
          <w:sz w:val="18"/>
          <w:szCs w:val="18"/>
          <w:color w:val="auto"/>
        </w:rPr>
        <w:t>” means JPMorgan Chase Bank, N.A., a national banking association, and an authorized foreign bank under the Bank Act (Canada) acting through its Toronto Branch.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9.16(a)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 Conversion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9.16(a)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Facility LC.</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Facility LCs at such time plus (b) the aggregate amount of all LC Reimbursement Obligations. The LC Exposure of any Lender at any time shall be its Applicable Revolving Loan Percentage of the total LC Exposure at such time.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Reimbursement Obligations</w:t>
      </w:r>
      <w:r>
        <w:rPr>
          <w:rFonts w:ascii="Arial" w:cs="Arial" w:eastAsia="Arial" w:hAnsi="Arial"/>
          <w:sz w:val="18"/>
          <w:szCs w:val="18"/>
          <w:color w:val="auto"/>
        </w:rPr>
        <w:t xml:space="preserve">” means, at any time, the aggregate outstanding amount of all obligations of the Borrowers to reimburse the Issuing Bank for LC Disbursements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J.P. Morgan Securities LLC</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(i) the Persons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the Lenders and any other Person that shall have become a party hereto as a Lender pursuant to an Assignment and Assumption, other than any such Person that ceases to be a party hereto pursuant to an Assignment and Assumption and (ii) the Designated Lenders, if any; provided however that the term “Lender” shall exclude the Designated Lenders when used in reference to a Borrowing (except to the extent a Designated Lender is the obligee of a Canadian Dollar Loan actually funded by such Designated Lender) or terms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to the Borrowings (except as noted above). Unless the context otherwise requires, the term “Lenders” includes the Swingline Lender.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of a Person means a letter of credit or similar instrument which is issued upon the application of such Person, or upon which such Person is an account party or for which such Person is in any way liable.</w:t>
      </w:r>
    </w:p>
    <w:p>
      <w:pPr>
        <w:spacing w:after="0" w:line="13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Interest Period, the interest rate determined by the Administrative Agent by reference to Reuters Screen LIBOR01, also referred to as Reuters BBA Libor Rates Page 3750 (or on any successor or substitute page), at approximately 11:00 a.m. London time, two Business Days prior to the commencement of the Interest Period for dollar deposits with a maturity equal to such Interest Period. If no LIBO Rate is available to the Administrative Agent, the applicable LIBO Rate for the relevant Interest Period shall instead be the rate determined by the Administrative Agent to be the rate at which JPMorgan Chase offers to place US Dollar deposits having a maturity equal to such Interest Period with first-class banks in the London interbank market at approximately 11:00 a.m. (London time) two Business Days prior to the first day of such Interest Period.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all Notes issued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all letter of credit applications, all Collateral Documents, and all other mortgages, security agreements and other collateral or security documents, guaranty agreements and instruments from time to time made, issued or executed by any Person in connection with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pursuant to or as described in this Agreement.</w:t>
      </w:r>
    </w:p>
    <w:p>
      <w:pPr>
        <w:spacing w:after="0" w:line="171"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Adjustment Date</w:t>
      </w:r>
      <w:r>
        <w:rPr>
          <w:rFonts w:ascii="Arial" w:cs="Arial" w:eastAsia="Arial" w:hAnsi="Arial"/>
          <w:sz w:val="18"/>
          <w:szCs w:val="18"/>
          <w:color w:val="auto"/>
        </w:rPr>
        <w:t xml:space="preserve">” means five (5) Business Days after each date on which the Company delivers financial statements in accordance with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the accompanying Compliance Certificate as required by </w:t>
      </w:r>
      <w:r>
        <w:rPr>
          <w:rFonts w:ascii="Arial" w:cs="Arial" w:eastAsia="Arial" w:hAnsi="Arial"/>
          <w:sz w:val="18"/>
          <w:szCs w:val="18"/>
          <w:u w:val="single" w:color="auto"/>
          <w:color w:val="auto"/>
        </w:rPr>
        <w:t>Section 5.01(c)</w:t>
      </w:r>
      <w:r>
        <w:rPr>
          <w:rFonts w:ascii="Arial" w:cs="Arial" w:eastAsia="Arial" w:hAnsi="Arial"/>
          <w:sz w:val="18"/>
          <w:szCs w:val="18"/>
          <w:color w:val="auto"/>
        </w:rPr>
        <w:t>.</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operations, or condition, financial or otherwise, of the Company and the Subsidiaries taken as a whole, (b) the ability of the Borrowers to perform any of their obligations under this Agreement or any of the other Loan Documents, or (c) the rights of or benefits available to the Lenders under this Agreement or any of the other Loan Documents.</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(other than the Loans and Facility LCs) and Rate Management Obligations of any one or more of the Company and its Subsidiaries in an aggregate principal amount exceeding $2,000,000.00. For purposes of determining Material Indebtedness, the “principal amount” of Rate Management Obligations at any time shall be the maximum aggregate amount (giving effect to any netting agreements) that the Company or such Subsidiary would be required to pay if the applicable Swap Agreement were terminated at such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means (i) those tracts and parcels of real property and all improvements thereon and appurtenances thereto described in the Perfection Certificate owned in fee by the applicable Credit Party (as opposed to a leasehold interest) and (ii) that tract or parcel of real property located at the Port of Catoosa in which one or more of the Credit Party(s) has a leasehold interest.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xml:space="preserve">” means all fee or leasehold mortgages or deeds of trust, as applicable, necessary to create a first and prior lien in favor of Agent with respect to the fee or leasehold interest of the Company or its applicable Subsidiary in the Mortgaged Properties, including but not limited to those unreleased mortgages and deeds of trust described in part on the attached </w:t>
      </w:r>
      <w:r>
        <w:rPr>
          <w:rFonts w:ascii="Arial" w:cs="Arial" w:eastAsia="Arial" w:hAnsi="Arial"/>
          <w:sz w:val="18"/>
          <w:szCs w:val="18"/>
          <w:u w:val="single" w:color="auto"/>
          <w:color w:val="auto"/>
        </w:rPr>
        <w:t>Exhibit F</w:t>
      </w:r>
      <w:r>
        <w:rPr>
          <w:rFonts w:ascii="Arial" w:cs="Arial" w:eastAsia="Arial" w:hAnsi="Arial"/>
          <w:sz w:val="18"/>
          <w:szCs w:val="18"/>
          <w:color w:val="auto"/>
        </w:rPr>
        <w:t>, that have been executed and delivered in favor of Agent pursuant to or in connection with the Initial Credit Agreement, the First A&amp;R Credit Agreement, Second A&amp;R Credit Agreement, or the Credit Agreement, as they have been or may be amended from time to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PP&amp;E</w:t>
      </w:r>
      <w:r>
        <w:rPr>
          <w:rFonts w:ascii="Arial" w:cs="Arial" w:eastAsia="Arial" w:hAnsi="Arial"/>
          <w:sz w:val="16"/>
          <w:szCs w:val="16"/>
          <w:color w:val="auto"/>
        </w:rPr>
        <w:t>” means, as of any date the net book value of all tangible assets of the Company as of such date on a consolidated basis that (i) have an estimated useful life of more than one (1) year as of the date of determination of the amount of Net PP&amp;E, (ii) are not intended for sale in the ordinary course of business and (iii) are intended to be used or available for use by the Company or one of the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delivered to a Lender as contemplated by </w:t>
      </w:r>
      <w:r>
        <w:rPr>
          <w:rFonts w:ascii="Arial" w:cs="Arial" w:eastAsia="Arial" w:hAnsi="Arial"/>
          <w:sz w:val="18"/>
          <w:szCs w:val="18"/>
          <w:u w:val="single" w:color="auto"/>
          <w:color w:val="auto"/>
        </w:rPr>
        <w:t>Section 2.10(f)</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9.16(a)</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without duplication, all any and all obligations, contingent or otherwise, now existing or hereafter arising, of the Company and the Subsidiaries to any of the Lenders or the Administrative Agent, or any of their respective Affiliates, or any indemnified party, arising under or in connection with the Loan Documents, whether now existing or hereafter arising, including without limitation unpaid principal of and accrued and unpaid interest on the Loans, all LC Reimbursement Obligations, all Rate Management Obligations as to any of the Lenders under any Swap Agreements, any and all overdrafts, and all accrued and unpaid fees and all expenses, reimbursements, indemnities and other obligations of the Company to the Lenders or to any Lender, the Administrative Agent, the Issuing Bank or any indemnified party under any of the Loan Documents.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Off-Balance Sheet Liability</w:t>
      </w:r>
      <w:r>
        <w:rPr>
          <w:rFonts w:ascii="Arial" w:cs="Arial" w:eastAsia="Arial" w:hAnsi="Arial"/>
          <w:sz w:val="16"/>
          <w:szCs w:val="16"/>
          <w:color w:val="auto"/>
        </w:rPr>
        <w:t>” of a Person means (i) any repurchase obligation or liability of such Person with respect to accounts or notes receivable sold by such Person, (ii) any liability under any so-called “synthetic lease” transaction entered into by such Person, or (iii) any obligation arising with respect to any other transaction which is the functional equivalent of or takes the place of borrowing but which does not constitute a liability on the balance sheets of such Person, but excluding from clauses (ii) and (iii) Operating Leases and Sale and Leaseback Transactions.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of a Person means any lease of property (other than a Capitalized Lease) by such Person as lessee.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53" w:name="page54"/>
    <w:bookmarkEnd w:id="53"/>
    <w:p>
      <w:pPr>
        <w:jc w:val="both"/>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Document.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this Agreement or any Loan Document, except any such Taxes that are Other Connection Taxes imposed with respect to an assignment (other than an assignment under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perfection certificate, in form and substance satisfactory to the Administrative Agent, executed by an appropriate officer or officers of the Company, certifying as to existence, description, location, and other matters regarding, the Collateral.</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as to which all the requirements of </w:t>
      </w:r>
      <w:r>
        <w:rPr>
          <w:rFonts w:ascii="Arial" w:cs="Arial" w:eastAsia="Arial" w:hAnsi="Arial"/>
          <w:sz w:val="18"/>
          <w:szCs w:val="18"/>
          <w:u w:val="single" w:color="auto"/>
          <w:color w:val="auto"/>
        </w:rPr>
        <w:t>Section 6.04(h)</w:t>
      </w:r>
      <w:r>
        <w:rPr>
          <w:rFonts w:ascii="Arial" w:cs="Arial" w:eastAsia="Arial" w:hAnsi="Arial"/>
          <w:sz w:val="18"/>
          <w:szCs w:val="18"/>
          <w:color w:val="auto"/>
        </w:rPr>
        <w:t xml:space="preserve"> have either been met or waived in accordance with the provisions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71" w:lineRule="exact"/>
        <w:rPr>
          <w:sz w:val="20"/>
          <w:szCs w:val="20"/>
          <w:color w:val="auto"/>
        </w:rPr>
      </w:pPr>
    </w:p>
    <w:p>
      <w:pPr>
        <w:ind w:right="20"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on its property if the same either (1) shall not at the time be delinquent, (2) thereafter can be paid without penalty, or (3) are being contested in good faith by appropriate proceedings with adequate reserves having been set aside on the books of the Company and its Subsidiaries in accordance with Agreement Accounting Principles;</w:t>
      </w:r>
    </w:p>
    <w:p>
      <w:pPr>
        <w:spacing w:after="0" w:line="140" w:lineRule="exact"/>
        <w:rPr>
          <w:rFonts w:ascii="Arial" w:cs="Arial" w:eastAsia="Arial" w:hAnsi="Arial"/>
          <w:sz w:val="18"/>
          <w:szCs w:val="18"/>
          <w:color w:val="auto"/>
        </w:rPr>
      </w:pPr>
    </w:p>
    <w:p>
      <w:pPr>
        <w:jc w:val="both"/>
        <w:ind w:right="120" w:firstLine="464"/>
        <w:spacing w:after="0" w:line="306"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sixty (60) days or are being contested by appropriate proceedings with adequate reserves having been set aside on the books of the Company and its Subsidiaries in accordance with Agreement Accounting Principles;</w:t>
      </w:r>
    </w:p>
    <w:p>
      <w:pPr>
        <w:spacing w:after="0" w:line="106" w:lineRule="exact"/>
        <w:rPr>
          <w:rFonts w:ascii="Arial" w:cs="Arial" w:eastAsia="Arial" w:hAnsi="Arial"/>
          <w:sz w:val="16"/>
          <w:szCs w:val="16"/>
          <w:color w:val="auto"/>
        </w:rPr>
      </w:pPr>
    </w:p>
    <w:p>
      <w:pPr>
        <w:ind w:right="20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old age pensions, and other social security or retirement benefit laws or regulations;</w:t>
      </w:r>
    </w:p>
    <w:p>
      <w:pPr>
        <w:spacing w:after="0" w:line="131" w:lineRule="exact"/>
        <w:rPr>
          <w:rFonts w:ascii="Arial" w:cs="Arial" w:eastAsia="Arial" w:hAnsi="Arial"/>
          <w:sz w:val="18"/>
          <w:szCs w:val="18"/>
          <w:color w:val="auto"/>
        </w:rPr>
      </w:pPr>
    </w:p>
    <w:p>
      <w:pPr>
        <w:jc w:val="both"/>
        <w:ind w:right="220" w:firstLine="464"/>
        <w:spacing w:after="0" w:line="306"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or other interests of customers or vendors under title retention agreements or similar agreements whereby the Company or a Subsidiary obtains possession (but not ownership) of materials or goods provided to the Company or such Subsidiary by or for the account of a customer of the Company or such Subsidiary for the purpose of fabrication, assembly or manufacturing, provided that such interests attach only to such materials or goods;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4" w:name="page55"/>
    <w:bookmarkEnd w:id="54"/>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judgment liens in respect of judgments that do not constitute an Event of Default under clause (k) of </w:t>
      </w:r>
      <w:r>
        <w:rPr>
          <w:rFonts w:ascii="Arial" w:cs="Arial" w:eastAsia="Arial" w:hAnsi="Arial"/>
          <w:sz w:val="18"/>
          <w:szCs w:val="18"/>
          <w:u w:val="single" w:color="auto"/>
          <w:color w:val="auto"/>
        </w:rPr>
        <w:t>Article VII</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permitted by the Company’s Investment Policy as in effect as of the date hereof, a copy of which is attached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(Ontario), including the regulations thereto, provided that, if perfection or the effect of perfection or non-perfection or the priority of any Lien created under any of the Loan Documents on the Collateral is governed by the personal property security legislation or other applicable legislation with respect to personal property security in effect in a jurisdiction other than Ontario, “PPSA” means the Personal Property Security Act or such other applicable legislation in effect from time to time in such other jurisdiction for purposes of the provisions hereof relating to such perfection, effect of perfection or non-perfection or priority.</w:t>
      </w:r>
    </w:p>
    <w:p>
      <w:pPr>
        <w:spacing w:after="0" w:line="143"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means the rate of interest per annum publicly announced from time to time by JPMorgan Chase as its prime rate in effect at its principal office in New York City; each change in the Prime Rate shall be effective from and including the date such change is publicly announced as being effective.</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Rate Management Obligations</w:t>
      </w:r>
      <w:r>
        <w:rPr>
          <w:rFonts w:ascii="Arial" w:cs="Arial" w:eastAsia="Arial" w:hAnsi="Arial"/>
          <w:sz w:val="16"/>
          <w:szCs w:val="16"/>
          <w:color w:val="auto"/>
        </w:rPr>
        <w:t>” of a Person means any and all obligations of such Person, whether absolute or contingent and howsoever and whensoever created, arising, evidenced or acquired (including all renewals, extensions and modifications thereof and substitutions therefor), under (i) any and all Rate Management Transactions, and (ii) any and all cancellations, buy backs, reversals, terminations or assignments of any Rate Management Transactions.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Management Transaction</w:t>
      </w:r>
      <w:r>
        <w:rPr>
          <w:rFonts w:ascii="Arial" w:cs="Arial" w:eastAsia="Arial" w:hAnsi="Arial"/>
          <w:sz w:val="18"/>
          <w:szCs w:val="18"/>
          <w:color w:val="auto"/>
        </w:rPr>
        <w:t>” means any transaction (including an agreement with respect thereto) now existing or hereafter entered by a Borrower under a Swap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the Issuing Bank.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 D</w:t>
      </w:r>
      <w:r>
        <w:rPr>
          <w:rFonts w:ascii="Arial" w:cs="Arial" w:eastAsia="Arial" w:hAnsi="Arial"/>
          <w:sz w:val="15"/>
          <w:szCs w:val="15"/>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5" w:name="page56"/>
    <w:bookmarkEnd w:id="55"/>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the Lenders having Revolving Credit Exposures and unused Revolving Loan Commitments representing at least fifty percent (50%) of the sum of the total Revolving Credit Exposures and unused Revolving Loan Commitments at such time, provided that each Designating Lender shall act on behalf of its Designated Lender in regard to any determination of Required Lenders.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Restated Credit Agreements</w:t>
      </w:r>
      <w:r>
        <w:rPr>
          <w:rFonts w:ascii="Arial" w:cs="Arial" w:eastAsia="Arial" w:hAnsi="Arial"/>
          <w:sz w:val="16"/>
          <w:szCs w:val="16"/>
          <w:color w:val="auto"/>
        </w:rPr>
        <w:t>” means, collectively, the Initial Credit Agreement, the First A&amp;R Credit Agreement and the Credit Agreement.</w:t>
      </w:r>
    </w:p>
    <w:p>
      <w:pPr>
        <w:spacing w:after="0" w:line="19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and its LC Exposure and Swingline Exposure at such time.</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Termination Date</w:t>
      </w:r>
      <w:r>
        <w:rPr>
          <w:rFonts w:ascii="Arial" w:cs="Arial" w:eastAsia="Arial" w:hAnsi="Arial"/>
          <w:sz w:val="16"/>
          <w:szCs w:val="16"/>
          <w:color w:val="auto"/>
        </w:rPr>
        <w:t>” means November 7, 2016, or any earlier date on which the Revolving Loan Commitments are reduced to zero or all Revolving Loan Commitments are otherwise terminated pursuant to the terms hereof, and if any such day is not a Business Day, then the next Business Day.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Loan</w:t>
      </w:r>
      <w:r>
        <w:rPr>
          <w:rFonts w:ascii="Arial" w:cs="Arial" w:eastAsia="Arial" w:hAnsi="Arial"/>
          <w:sz w:val="16"/>
          <w:szCs w:val="16"/>
          <w:color w:val="auto"/>
        </w:rPr>
        <w:t xml:space="preserve">” means a Loan made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this Agreement and also any Revolving Loan existing on the Closing Date.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w:t>
      </w:r>
      <w:r>
        <w:rPr>
          <w:rFonts w:ascii="Arial" w:cs="Arial" w:eastAsia="Arial" w:hAnsi="Arial"/>
          <w:sz w:val="18"/>
          <w:szCs w:val="18"/>
          <w:color w:val="auto"/>
        </w:rPr>
        <w:t xml:space="preserve">” means, with respect to each Lender, the commitment of such Lender to make Revolving Loans and to acquire participations in Facility LCs and Swingline Loans hereunder, expressed as an amount representing the maximum aggregate amount of such Lender’s Revolving Credit Exposure hereunder, as such commitment may be (a) increased from time to time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(b)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(c)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Revolving Loan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in the Assignment and Assumption pursuant to which such Lender shall have assumed its Revolving Loan Commitment, as applicable.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sale or other transfer of Property by any Person with the intent to lease such Property as lessee.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56" w:name="page57"/>
    <w:bookmarkEnd w:id="56"/>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each Existing Security Agreement and any other security agreement in a form acceptable to the Administrative Agent that is executed by the Company or any Guarantor after the Closing Date, as each of them has been or may be amended from time to time.</w:t>
      </w:r>
    </w:p>
    <w:p>
      <w:pPr>
        <w:spacing w:after="0" w:line="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Leverage Ratio</w:t>
      </w:r>
      <w:r>
        <w:rPr>
          <w:rFonts w:ascii="Arial" w:cs="Arial" w:eastAsia="Arial" w:hAnsi="Arial"/>
          <w:sz w:val="18"/>
          <w:szCs w:val="18"/>
          <w:color w:val="auto"/>
        </w:rPr>
        <w:t>” means, as of the last day of any fiscal quarter, the ratio determined as follows: (i) Consolidated Funded Indebtedness to (ii) Consolidated EBITDA for the four fiscal quarters ending as of the last day of such fiscal quarter.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the Company, at any date, any corporation, limited liability company, partnership, association or other entity the accounts of which would be consolidated with those of the Company in the Company’s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Company or one or more subsidiaries of the Company or by the Company and one or more subsidiaries of the Company. Notwithstanding the foregoing, neither Matrix Service, Inc., Panama (formed in Panama) nor San Luis Tank S.A. de C.V. (formed in Mexico) shall be considered a Subsidiary as long as it is dormant, has no assets, conducts no operations and the Company has no plan or intention to utilize it for any purpose.</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Guaranty</w:t>
      </w:r>
      <w:r>
        <w:rPr>
          <w:rFonts w:ascii="Arial" w:cs="Arial" w:eastAsia="Arial" w:hAnsi="Arial"/>
          <w:sz w:val="16"/>
          <w:szCs w:val="16"/>
          <w:color w:val="auto"/>
        </w:rPr>
        <w:t>” means each Existing Guarantee and any other Guarantee in a form acceptable to the Administrative Agent that is executed by any Guarantor or other Person after the Closing Date pursuant to or in connection with any of the Restated Credit Agreements or this Agreement, or any agreement amending any such Guarantee, as each of them has been or may be amended from time to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Trigger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5.09(e)</w:t>
      </w:r>
      <w:r>
        <w:rPr>
          <w:rFonts w:ascii="Arial" w:cs="Arial" w:eastAsia="Arial" w:hAnsi="Arial"/>
          <w:sz w:val="18"/>
          <w:szCs w:val="18"/>
          <w:color w:val="auto"/>
        </w:rPr>
        <w:t>.</w:t>
      </w:r>
    </w:p>
    <w:p>
      <w:pPr>
        <w:spacing w:after="0" w:line="171"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Substantial Portion</w:t>
      </w:r>
      <w:r>
        <w:rPr>
          <w:rFonts w:ascii="Arial" w:cs="Arial" w:eastAsia="Arial" w:hAnsi="Arial"/>
          <w:sz w:val="16"/>
          <w:szCs w:val="16"/>
          <w:color w:val="auto"/>
        </w:rPr>
        <w:t>” means, with respect to the property of the Company and its Subsidiaries, property which represents more than five percent (5%) of the consolidated assets of the Company and its Subsidiaries or property which is responsible for more than ten percent (10%) of the consolidated net income of the Company and its Subsidiaries, in each case, as would be shown in the consolidated financial statements of the Company and its Subsidiaries for the twelve-month period ending with the month in which such determination is made (or if financial statements have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been delivered hereunder for that month, then the financial statements delivered hereunder for the quarter ending immediately prior to that month).</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Revolving Loan Percentage of the total Swingline Exposure at such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in its capacity as lender of Swingline Loans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6.04(h)(ix)</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including interest and penalties in respect thereof, imposed by any Governmental Authority.</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execution, delivery and performance by the Borrowers of this Agreement, the borrowing of Loans, the use of the proceeds thereof, the issuance of Facility LCs hereunder and the granting and perfection of Liens to secure repayment of the Obligations.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 or, in the case of Canadian Dollar Loans, to the CDOR Rate or the Canadian Prime Rate.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Revolving Credit Facility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Dollar Loan</w:t>
      </w:r>
      <w:r>
        <w:rPr>
          <w:rFonts w:ascii="Arial" w:cs="Arial" w:eastAsia="Arial" w:hAnsi="Arial"/>
          <w:sz w:val="16"/>
          <w:szCs w:val="16"/>
          <w:color w:val="auto"/>
        </w:rPr>
        <w:t>” means any Loan denominated in US Dollars bearing interest determined by reference to the Alternate Base Rate or the Adjusted LIBO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2.17(f)(ii)(D)</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8" w:name="page59"/>
    <w:bookmarkEnd w:id="5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association, joint venture or similar business organization 100% of the ownership interests having ordinary voting power of which shall at the time be so owned or controlled.</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17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“Revolving Loan”) or by Type (</w:t>
      </w:r>
      <w:r>
        <w:rPr>
          <w:rFonts w:ascii="Arial" w:cs="Arial" w:eastAsia="Arial" w:hAnsi="Arial"/>
          <w:sz w:val="18"/>
          <w:szCs w:val="18"/>
          <w:i w:val="1"/>
          <w:iCs w:val="1"/>
          <w:color w:val="auto"/>
        </w:rPr>
        <w:t>e.g.</w:t>
      </w:r>
      <w:r>
        <w:rPr>
          <w:rFonts w:ascii="Arial" w:cs="Arial" w:eastAsia="Arial" w:hAnsi="Arial"/>
          <w:sz w:val="18"/>
          <w:szCs w:val="18"/>
          <w:color w:val="auto"/>
        </w:rPr>
        <w:t>, a “Eurodollar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“Eurodollar Revolving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“Revolving Borrowing”) or by Type (</w:t>
      </w:r>
      <w:r>
        <w:rPr>
          <w:rFonts w:ascii="Arial" w:cs="Arial" w:eastAsia="Arial" w:hAnsi="Arial"/>
          <w:sz w:val="18"/>
          <w:szCs w:val="18"/>
          <w:i w:val="1"/>
          <w:iCs w:val="1"/>
          <w:color w:val="auto"/>
        </w:rPr>
        <w:t>e.g.</w:t>
      </w:r>
      <w:r>
        <w:rPr>
          <w:rFonts w:ascii="Arial" w:cs="Arial" w:eastAsia="Arial" w:hAnsi="Arial"/>
          <w:sz w:val="18"/>
          <w:szCs w:val="18"/>
          <w:color w:val="auto"/>
        </w:rPr>
        <w:t xml:space="preserve">, a “Eurodollar Borrowing”) or by Class and Type (e </w:t>
      </w:r>
      <w:r>
        <w:rPr>
          <w:rFonts w:ascii="Arial" w:cs="Arial" w:eastAsia="Arial" w:hAnsi="Arial"/>
          <w:sz w:val="18"/>
          <w:szCs w:val="18"/>
          <w:i w:val="1"/>
          <w:iCs w:val="1"/>
          <w:color w:val="auto"/>
        </w:rPr>
        <w:t>e.g.</w:t>
      </w:r>
      <w:r>
        <w:rPr>
          <w:rFonts w:ascii="Arial" w:cs="Arial" w:eastAsia="Arial" w:hAnsi="Arial"/>
          <w:sz w:val="18"/>
          <w:szCs w:val="18"/>
          <w:color w:val="auto"/>
        </w:rPr>
        <w:t>, a “Eurodollar Revolving Borrowing”).</w:t>
      </w:r>
    </w:p>
    <w:p>
      <w:pPr>
        <w:spacing w:after="0" w:line="14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Terms Generally</w:t>
      </w:r>
      <w:r>
        <w:rPr>
          <w:rFonts w:ascii="Arial" w:cs="Arial" w:eastAsia="Arial" w:hAnsi="Arial"/>
          <w:sz w:val="15"/>
          <w:szCs w:val="15"/>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and all assets and properties of a mixed tangible and intangible nature, including cash, securities, accounts and contract rights.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International Financial Reporting Standards (each an “</w:t>
      </w:r>
      <w:r>
        <w:rPr>
          <w:rFonts w:ascii="Arial" w:cs="Arial" w:eastAsia="Arial" w:hAnsi="Arial"/>
          <w:sz w:val="16"/>
          <w:szCs w:val="16"/>
          <w:u w:val="single" w:color="auto"/>
          <w:color w:val="auto"/>
        </w:rPr>
        <w:t>Accounting Change</w:t>
      </w:r>
      <w:r>
        <w:rPr>
          <w:rFonts w:ascii="Arial" w:cs="Arial" w:eastAsia="Arial" w:hAnsi="Arial"/>
          <w:sz w:val="16"/>
          <w:szCs w:val="16"/>
          <w:color w:val="auto"/>
        </w:rPr>
        <w:t>”) or in the application thereof on the operation of such provision (or if the Administrative Agent notifies the Company that the Required Lenders request an amendment to any provision hereof for such purpose), regardless of whether any such notice is given before or after such Accounting Change or in the application thereof, then such provision shall be interpreted on the basis of GAAP or International Financial Reporting Standards, as applicable, as in effect and applied immediately before such change shall have become effective until such notice shall have been withdrawn or such provision amended in accordance herewith.</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Currency Matters</w:t>
      </w:r>
      <w:r>
        <w:rPr>
          <w:rFonts w:ascii="Arial" w:cs="Arial" w:eastAsia="Arial" w:hAnsi="Arial"/>
          <w:sz w:val="16"/>
          <w:szCs w:val="16"/>
          <w:color w:val="auto"/>
        </w:rPr>
        <w:t>. Principal, interest, reimbursement obligations, fees, and all other amounts payable under this Agreement and the other Loan Documents to the Administrative Agent and the Lenders shall be payable in the currency in which such Obligations 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9" w:name="page60"/>
    <w:bookmarkEnd w:id="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denominated. Unless stated otherwise, all calculations, comparisons, measurements or determinations under this Agreement shall be made in US Dollars. For the purpose of such calculations, comparisons, measurements or determinations, amounts or proceeds denominated in other currencies shall be converted to the Equivalent Amount of US Dollars on the date of calculation, comparison, measurement or determination. Unless expressly provided otherwise, where a reference is made to a dollar amount, the amount is to be considered as the amount in US Dollars and, therefore, each other currency shall be converted into the Equivalent Amount thereof in US Dollars.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Loans and Revolving Loan Commitments</w:t>
      </w:r>
      <w:r>
        <w:rPr>
          <w:rFonts w:ascii="Arial" w:cs="Arial" w:eastAsia="Arial" w:hAnsi="Arial"/>
          <w:sz w:val="16"/>
          <w:szCs w:val="16"/>
          <w:color w:val="auto"/>
        </w:rPr>
        <w:t xml:space="preserve">. Subject to the terms and conditions set forth herein, each Lender agrees to make CDOR Revolving Loans and Canadian Prime Rate Loans to the Canadian Borrowers denominated in Canadian Dollars and each Lender agrees to make ABR Revolving Loans and Eurodollar Revolving Loans to the Company denominated in US Dollars from time to time during the Availability Period in an aggregate principal amount not to exceed at any time outstanding the amount of such Lender’s Revolving Loan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Canadian Dollar Loans funded by a Designated Lender shall constitute a utilization against the Revolving Loan Commitment of its Designating Lender for all purposes hereunder, (ii) after giving effect to any Revolving Loan, (A) such Lender’s Revolving Credit Exposure shall not exceed such Lender’s Revolving Loan Commitment, (B) the sum of the total Revolving Credit Exposures shall not exceed the Aggregate Revolving Loan Commitments, and (iii) at no time shall the aggregate outstanding Canadian Dollar Loans exceed $15,000,000 (with the Equivalent Amount of each such Canadian Dollar Loan in US Dollars for purposes of this sentence being measured only as of the time made). Within the foregoing limits and subject to the terms and conditions set forth in this Agreement, the Borrowers may borrow, prepay and reborrow Revolving Loans.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56"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Each Revolving Loan shall be made as part of a Borrowing consisting of Revolving Loans made by the Lenders ratably in accordance with their Applicable Revolving Loan Percentages. The failure of any Lender to make any Revolving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Loan Commitments of the Lenders are several and no Lender shall be responsible for any other Lender’s failure to make Revolving Loans as required.</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Revolving Borrowing denominated in Canadian Dollars shall be comprised entirely of Canadian Prime Rate Loans or CDOR Rate Loans and each Revolving Borrowing denominated in US Dollars shall be comprised entirely of ABR Loans or Eurodollar Loans as the Company may request in accordance herewith. Swingline Loans may be denominated in Canadian Dollars or in US Dollars. Each Swingline Loan denominated in Canadian Dollars shall be a Canadian Prime Rate Loan and each Swingline Loan denominated in US Dollars shall be an ABR Loan. Each Lender at its option may make any Eurodollar Revolving Loan and CDOR Rate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Borrowers to repay such Loan in accordance with the terms of this Agreement.</w:t>
      </w:r>
    </w:p>
    <w:p>
      <w:pPr>
        <w:spacing w:after="0" w:line="120" w:lineRule="exact"/>
        <w:rPr>
          <w:rFonts w:ascii="Arial" w:cs="Arial" w:eastAsia="Arial" w:hAnsi="Arial"/>
          <w:sz w:val="16"/>
          <w:szCs w:val="16"/>
          <w:color w:val="auto"/>
        </w:rPr>
      </w:pPr>
    </w:p>
    <w:p>
      <w:pPr>
        <w:ind w:right="58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commencement of each Interest Period for any Eurodollar Borrowing, such Borrowing shall be in an aggregate amount that is an integral multiple of $50,000.00 and not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$500,000.00. At the time each CDOR Borrowing is initially made, such Borrowing shall be in an aggregate amount that is an integral multiple of Cdn</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$50,000.00 and not less than Cdn $500,000.00 (with the Equivalent Amount of each such CDOR Borrowing in US Dollars for purposes of this sentence being measured only as of the beginning of such Interest Period). At the time that each ABR Revolving Borrowing is made, such Borrowing shall be in an aggregate amount that is an integral multiple of $100,000.00 and not less than $100,000.00, and at the time that each Canadian Prime Rate Borrowing is made, such Borrowing shall be in an aggregate amount that is an integral multiple of Cdn $100,000.00 and not less than Cdn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Borrowing or Canadian Prime Rate Revolving Borrowing may be in an aggregate amount that is equal to the entire unused balance of the Aggregate Revolving Loan Commitments or that is required to finance the reimbursement of an LC Disbursement as contemplated by </w:t>
      </w:r>
      <w:r>
        <w:rPr>
          <w:rFonts w:ascii="Arial" w:cs="Arial" w:eastAsia="Arial" w:hAnsi="Arial"/>
          <w:sz w:val="16"/>
          <w:szCs w:val="16"/>
          <w:u w:val="single" w:color="auto"/>
          <w:color w:val="auto"/>
        </w:rPr>
        <w:t>Section 2.06(e)</w:t>
      </w:r>
      <w:r>
        <w:rPr>
          <w:rFonts w:ascii="Arial" w:cs="Arial" w:eastAsia="Arial" w:hAnsi="Arial"/>
          <w:sz w:val="16"/>
          <w:szCs w:val="16"/>
          <w:color w:val="auto"/>
        </w:rPr>
        <w:t>. Each Swingline Loan shall be in an amount not less than US or Cdn $100,000.00. Borrowings of more than one Type and Class may be outstanding at the same time.</w:t>
      </w:r>
    </w:p>
    <w:p>
      <w:pPr>
        <w:spacing w:after="0" w:line="123" w:lineRule="exact"/>
        <w:rPr>
          <w:sz w:val="20"/>
          <w:szCs w:val="20"/>
          <w:color w:val="auto"/>
        </w:rPr>
      </w:pPr>
    </w:p>
    <w:p>
      <w:pPr>
        <w:ind w:right="140" w:firstLine="464"/>
        <w:spacing w:after="0" w:line="332"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Borrowers shall not be entitled to request or to elect to convert or continue any Revolving Borrowing if the Interest Period requested with respect thereto would end after the Revolving Credit Termination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any Lender which is a Designating Lender, any Canadian Dollar Loan shall be made by its Designated Lender.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xml:space="preserve">. To request a Revolving Borrowing, the Company shall notify the Administrative Agent of such request by telephone (a) in the case of a CDOR Rate Borrowing or Eurodollar Borrowing, not later than 11:00 a.m., New York City time, three (3) Business Days before the date of the proposed Borrowing or (b) in the case of a Canadian Prime Rate Borrowing or an ABR Borrowing, not later than 11:00 a.m., New York City time, one Business Day before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 Canadian Prime Rate Borrowing or an ABR Revolving Borrowing to finance the reimbursement of an LC Disbursement as contemplated by </w:t>
      </w:r>
      <w:r>
        <w:rPr>
          <w:rFonts w:ascii="Arial" w:cs="Arial" w:eastAsia="Arial" w:hAnsi="Arial"/>
          <w:sz w:val="16"/>
          <w:szCs w:val="16"/>
          <w:u w:val="single" w:color="auto"/>
          <w:color w:val="auto"/>
        </w:rPr>
        <w:t>Section 2.06(e)</w:t>
      </w:r>
      <w:r>
        <w:rPr>
          <w:rFonts w:ascii="Arial" w:cs="Arial" w:eastAsia="Arial" w:hAnsi="Arial"/>
          <w:sz w:val="16"/>
          <w:szCs w:val="16"/>
          <w:color w:val="auto"/>
        </w:rPr>
        <w:t xml:space="preserve"> may be given not later than 10:00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Company. Each such telephonic and written Borrowing Request shall specify the following information in compliance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18" w:lineRule="exact"/>
        <w:rPr>
          <w:sz w:val="20"/>
          <w:szCs w:val="20"/>
          <w:color w:val="auto"/>
        </w:rPr>
      </w:pPr>
    </w:p>
    <w:p>
      <w:pPr>
        <w:ind w:left="1140" w:hanging="21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of the Borrower that will receive the requested Borrowing;</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amount of the requested Borrowing (in US Dollars or, with respect to Canadian Dollar Loans, in Canadian Dollars);</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such Borrowing is to be an ABR Borrowing, a Canadian Prime Rate Borrowing, a CDOR Borrowing, or a Eurodollar Borrowing;</w:t>
      </w:r>
    </w:p>
    <w:p>
      <w:pPr>
        <w:spacing w:after="0" w:line="194" w:lineRule="exact"/>
        <w:rPr>
          <w:rFonts w:ascii="Arial" w:cs="Arial" w:eastAsia="Arial" w:hAnsi="Arial"/>
          <w:sz w:val="16"/>
          <w:szCs w:val="16"/>
          <w:color w:val="auto"/>
        </w:rPr>
      </w:pPr>
    </w:p>
    <w:p>
      <w:pPr>
        <w:ind w:right="340" w:firstLine="921"/>
        <w:spacing w:after="0" w:line="268"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 CDOR Rate Borrowing or a Eurodollar Borrowing, the initial Interest Period to be applicable thereto, which shall be a period contemplated by the definition of the term “Interest Period”;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61" w:name="page62"/>
    <w:bookmarkEnd w:id="61"/>
    <w:p>
      <w:pPr>
        <w:ind w:left="1220" w:hanging="299"/>
        <w:spacing w:after="0"/>
        <w:tabs>
          <w:tab w:leader="none" w:pos="1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location and number of the applicable Borrower’s account to which funds are to be disbursed, which shall comply with the requirements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no election as to the Type of Revolving Borrowing is specified, then the requested Revolving Borrowing shall be a Canadian Prime Rate Borrowing or an ABR Borrowing. If no Interest Period is specified with respect to any requested CDOR Borrowing or Eurodollar Revolving Borrowing, then the Company shall be deemed to have selected an Interest Period of one month’s duration (or 30 days in the case of a CDOR Borrowing). Promptly following receipt of a Borrowing Request in accordance with this Section, the Administrative Agent shall advise each Lender of the details thereof and of the amount of such Lender’s Revolving Loan to be made as part of the requested Borrowing.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Increase in Aggregate Revolving Loan Commitments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4"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The Company may, at any time and from time to time, request, by notice to the Administrative Agent, the Administrative Agent’s approval of an increase of the Aggregate Revolving Loan Commitments (a “</w:t>
      </w:r>
      <w:r>
        <w:rPr>
          <w:rFonts w:ascii="Arial" w:cs="Arial" w:eastAsia="Arial" w:hAnsi="Arial"/>
          <w:sz w:val="16"/>
          <w:szCs w:val="16"/>
          <w:u w:val="single" w:color="auto"/>
          <w:color w:val="auto"/>
        </w:rPr>
        <w:t>Revolving Commitment Increase</w:t>
      </w:r>
      <w:r>
        <w:rPr>
          <w:rFonts w:ascii="Arial" w:cs="Arial" w:eastAsia="Arial" w:hAnsi="Arial"/>
          <w:sz w:val="16"/>
          <w:szCs w:val="16"/>
          <w:color w:val="auto"/>
        </w:rPr>
        <w:t xml:space="preserve">”) within the limitations hereafter described, which request shall set forth the amount of each such requested Revolving Commitment Increase. Administrative Agent shall notify all the Lenders of any such request and provide them the first right to participate in the same proportions that their respective Applicable Revolving Loan Percentages bear to those of all the Lenders who elect to participate therein. Within twenty (20) days of such request, the Administrative Agent shall advise the Company of its approval or disapproval of such request; failure to so advise the Company shall constitute disapproval. If the Administrative Agent approves any such Revolving Commitment Increase, then the Aggregate Revolving Commitment may be so increased (up to the amount of such approved Revolving Commitment Increase) by having one or more of the Lenders increase the amount of their then existing Revolving Loan Commitments and, if existing the Lenders do not choose to participate to the extent necessary for the applicable Revolving Commitment Increase to be provided entirely by existing the Lenders, by having one or more new the Lenders become the Lenders party to this Agreement. Any Revolving Commitment Increase shall be subject to the following limitations and conditions: (i) any Revolving Commitment Increase shall not be less than $5,000,000.00 (and shall be in integral multiples of $5,000,000.00 if in excess thereof); (ii) no Revolving Commitment Increase shall increase the Aggregate Revolving Loan Commitments to an amount in excess of $175,000,000.00; (iii) the provisions of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shall apply in respect of any Increasing Lender that is not a Lender prior to the Revolving Commitment Increase, as if such Increasing Lender were an assignee of a Revolving Loan Commitment, (iv) the Borrowers shall have executed and delivered to the Administrative Agent such Note or Notes as the applicable Increasing Lender shall request to reflect such Revolving Commitment Increase (or, in the case of a new Lender, such Lender’s Revolving Commitment); (v) the Company shall have delivered to the Administrative Agent opinions of counsel (substantially similar to the forms of opinions provided for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modified to apply to the Revolving Commitment Increase and each Note executed and delivered in connection therewith); (vi) the Guarantors shall have consented in writing to the Revolving Commitment Increase and shall have agreed in writing that their Subsidiary Guarantees continue in full force and effect; and (vii) the Company, Subsidiaries and each Lender shall have executed and delivered such other instruments and documents as the Administrative Agent shall have reasonably requested in connection with such Revolving Commitment Increase. The form and substance of the documents required under clauses (iv) through (vii) above shall be fully acceptable to the Administrative Agent. The Administrative Agent shall provide written notice to all of the Lenders hereunder of any Revolving Commitment Increase.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62" w:name="page63"/>
    <w:bookmarkEnd w:id="62"/>
    <w:p>
      <w:pPr>
        <w:ind w:left="-20" w:firstLine="464"/>
        <w:spacing w:after="0" w:line="286"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Loans by Increasing Lenders</w:t>
      </w:r>
      <w:r>
        <w:rPr>
          <w:rFonts w:ascii="Arial" w:cs="Arial" w:eastAsia="Arial" w:hAnsi="Arial"/>
          <w:sz w:val="16"/>
          <w:szCs w:val="16"/>
          <w:color w:val="auto"/>
        </w:rPr>
        <w:t xml:space="preserve">. Upon the effective date of any increase in the Aggregate Revolving Loan Commitments pursuant to the provisions hereof, which effective date shall be mutually agreed upon by the Company, each Increasing Lender and the Administrative Agent, each Increasing Lender shall make a payment to the Administrative Agent in an amount sufficient, upon the application of such payments by all Increasing Lenders to the reduction of the outstanding Revolving Loans held by the Lenders, to cause the principal amount outstanding under the Revolving Loans made by each Lender (including, as applicable, any Increasing Lender) to be in the amount of its Applicable Revolving Loan Percentage (upon the effective date of such increase). The Borrowers hereby irrevocably authorize each Increasing Lender to fund to the Administrative Agent the payment required to be made pursuant to the immediately preceding sentence for application to the reduction of the outstanding Revolving Loans held by the other the Lenders hereunder. If, as a result of the repayment of the Revolving Loans provided for in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any payment of a Eurodollar Revolving Borrowing or CDOR Revolving Borrowing occurs on a day which is not the last day of the applicable Interest Period, the Borrowers will pay to the Administrative Agent for the benefit of any of the Lenders holding such Borrowing any loss or cost incurred by such Lender resulting therefrom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Upon the effective date of such increase in the Aggregate Revolving Loan Commitments, all Eurodollar Revolving Loans outstanding hereunder (including any Revolving Loans made by the Increasing Lenders on such date) shall be ABR Loans, subject to the Company’s right to convert the same to Eurodollar Loans on or after such date in accordance with the provisions of </w:t>
      </w:r>
      <w:r>
        <w:rPr>
          <w:rFonts w:ascii="Arial" w:cs="Arial" w:eastAsia="Arial" w:hAnsi="Arial"/>
          <w:sz w:val="16"/>
          <w:szCs w:val="16"/>
          <w:u w:val="single" w:color="auto"/>
          <w:color w:val="auto"/>
        </w:rPr>
        <w:t>Section 2.08</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20" w:right="40" w:firstLine="464"/>
        <w:spacing w:after="0" w:line="291" w:lineRule="auto"/>
        <w:tabs>
          <w:tab w:leader="none" w:pos="67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Increasing Lenders’ Participation in Facility LCs</w:t>
      </w:r>
      <w:r>
        <w:rPr>
          <w:rFonts w:ascii="Arial" w:cs="Arial" w:eastAsia="Arial" w:hAnsi="Arial"/>
          <w:sz w:val="16"/>
          <w:szCs w:val="16"/>
          <w:color w:val="auto"/>
        </w:rPr>
        <w:t xml:space="preserve">. Upon the effective date of any increase in the Aggregate Revolving Loan Commitments and the making of the Revolving Loans by the Increasing Lenders in accordance with the provisions of </w:t>
      </w:r>
      <w:r>
        <w:rPr>
          <w:rFonts w:ascii="Arial" w:cs="Arial" w:eastAsia="Arial" w:hAnsi="Arial"/>
          <w:sz w:val="16"/>
          <w:szCs w:val="16"/>
          <w:u w:val="single" w:color="auto"/>
          <w:color w:val="auto"/>
        </w:rPr>
        <w:t>Section 2.04(b)</w:t>
      </w:r>
      <w:r>
        <w:rPr>
          <w:rFonts w:ascii="Arial" w:cs="Arial" w:eastAsia="Arial" w:hAnsi="Arial"/>
          <w:sz w:val="16"/>
          <w:szCs w:val="16"/>
          <w:color w:val="auto"/>
        </w:rPr>
        <w:t>, each Increasing Lender shall also be deemed to have irrevocably and unconditionally purchased and received, without recourse or warranty, from the Lenders party to this Agreement immediately prior to the effective date of such increase, an undivided interest and participation in any Facility LCs then outstanding, ratably, such that each Lender (including each Increasing Lender) holds a participation interest in each such Facility LC in proportion equal to its Applicable Revolving Loan Percentage upon the effective date of such increase in the Aggregate Revolving Loan Commitments.</w:t>
      </w:r>
    </w:p>
    <w:p>
      <w:pPr>
        <w:spacing w:after="0" w:line="120" w:lineRule="exact"/>
        <w:rPr>
          <w:rFonts w:ascii="Arial" w:cs="Arial" w:eastAsia="Arial" w:hAnsi="Arial"/>
          <w:sz w:val="16"/>
          <w:szCs w:val="16"/>
          <w:color w:val="auto"/>
        </w:rPr>
      </w:pPr>
    </w:p>
    <w:p>
      <w:pPr>
        <w:ind w:left="-20" w:right="100" w:firstLine="464"/>
        <w:spacing w:after="0" w:line="298"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 Obligation to Increase Revolving Loan Commitment</w:t>
      </w:r>
      <w:r>
        <w:rPr>
          <w:rFonts w:ascii="Arial" w:cs="Arial" w:eastAsia="Arial" w:hAnsi="Arial"/>
          <w:sz w:val="16"/>
          <w:szCs w:val="16"/>
          <w:color w:val="auto"/>
        </w:rPr>
        <w:t>. Nothing contained herein shall constitute, or otherwise be deemed to be, a commitment or agreement on the part of the Borrowers or the Administrative Agent to give or grant any Lender the right to increase its Revolving Loan Commitment hereunder at any time or a commitment or agreement on the part of any Lender to increase its Revolving Loan Commitment hereunder at any time, and no Revolving Loan Commitment of a Lender shall be increased without its prior written approval, which it may grant or deny in its sole discretion.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71" w:lineRule="exact"/>
        <w:rPr>
          <w:sz w:val="20"/>
          <w:szCs w:val="20"/>
          <w:color w:val="auto"/>
        </w:rPr>
      </w:pPr>
    </w:p>
    <w:p>
      <w:pPr>
        <w:ind w:left="-20" w:right="60" w:firstLine="464"/>
        <w:spacing w:after="0" w:line="294"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the Swingline Lender agrees to make Swingline Loans denominated in Canadian Dollars to the Canadian Borrowers and Swingline Loans denominated in US Dollars to the Company from time to time during the Availability Period, in an aggregate principal amount at any time outstanding not to exceed $10,000,000.00 (with the Equivalent Amount of each Canadian Dollar Swingline Loan in US Dollars for purposes of this sentence being measured only as of the time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Swingline Loan, the sum of the total Revolving Credit Exposures shall not exceed the Aggregate Revolving Loan Commitments, and (ii) the Swingline Lender shall not be required to make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80" w:right="259" w:bottom="1440" w:gutter="0" w:footer="0" w:header="0"/>
        </w:sectPr>
      </w:pPr>
    </w:p>
    <w:bookmarkStart w:id="63" w:name="page64"/>
    <w:bookmarkEnd w:id="6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Swingline Loan to refinance an outstanding Swingline Loan. Within the foregoing limits and subject to the terms and conditions set forth herein, the Company may borrow, prepay and reborrow Swingline Loans.</w:t>
      </w:r>
    </w:p>
    <w:p>
      <w:pPr>
        <w:spacing w:after="0" w:line="132" w:lineRule="exact"/>
        <w:rPr>
          <w:sz w:val="20"/>
          <w:szCs w:val="20"/>
          <w:color w:val="auto"/>
        </w:rPr>
      </w:pPr>
    </w:p>
    <w:p>
      <w:pPr>
        <w:ind w:right="140" w:firstLine="464"/>
        <w:spacing w:after="0" w:line="290"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request a Swingline Loan, the Company shall notify the Administrative Agent of such request by telephone (confirmed by telecopy), not later than 12:00 noon, New York City time, on the day of a proposed Swingline Loan. Each such notice shall be irrevocable and shall specify the requested date (which shall be a Business Day) and amount of the requested Swingline Loan, as well as the name of the Borrower that will receive the Swingline Loan. The Administrative Agent will promptly advise the Swingline Lender of any such notice received from the Company. The Swingline Lender shall make each Swingline Loan available to the applicable Borrower by means of a credit to the general deposit account of such Borrower with the Swingline Lender (or, in the case of a Swingline Loan made to finance the reimbursement of an LC Disbursement as provided in </w:t>
      </w:r>
      <w:r>
        <w:rPr>
          <w:rFonts w:ascii="Arial" w:cs="Arial" w:eastAsia="Arial" w:hAnsi="Arial"/>
          <w:sz w:val="16"/>
          <w:szCs w:val="16"/>
          <w:u w:val="single" w:color="auto"/>
          <w:color w:val="auto"/>
        </w:rPr>
        <w:t>Section 2.06(e)</w:t>
      </w:r>
      <w:r>
        <w:rPr>
          <w:rFonts w:ascii="Arial" w:cs="Arial" w:eastAsia="Arial" w:hAnsi="Arial"/>
          <w:sz w:val="16"/>
          <w:szCs w:val="16"/>
          <w:color w:val="auto"/>
        </w:rPr>
        <w:t>, by remittance to the Issuing Bank) by 5:00 p.m., New York City time, on the requested date of such Swingline Loan.</w:t>
      </w:r>
    </w:p>
    <w:p>
      <w:pPr>
        <w:spacing w:after="0" w:line="118" w:lineRule="exact"/>
        <w:rPr>
          <w:rFonts w:ascii="Arial" w:cs="Arial" w:eastAsia="Arial" w:hAnsi="Arial"/>
          <w:sz w:val="16"/>
          <w:szCs w:val="16"/>
          <w:color w:val="auto"/>
        </w:rPr>
      </w:pPr>
    </w:p>
    <w:p>
      <w:pPr>
        <w:ind w:firstLine="464"/>
        <w:spacing w:after="0" w:line="284"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Revolving Loan Percentage of such Swingline Loan or Loans. Each Lender hereby absolutely and unconditionally agrees, upon receipt of notice as provided above, to pay to the Administrative Agent, for the account of the Swingline Lender, such Lender’s Applicable Revolving Loan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Loan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Revolving Loans made by such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Borrowers of any default in the payment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1" w:lineRule="exact"/>
        <w:rPr>
          <w:sz w:val="20"/>
          <w:szCs w:val="20"/>
          <w:color w:val="auto"/>
        </w:rPr>
      </w:pPr>
    </w:p>
    <w:p>
      <w:pPr>
        <w:ind w:left="-20" w:right="480" w:firstLine="464"/>
        <w:spacing w:after="0" w:line="294" w:lineRule="auto"/>
        <w:tabs>
          <w:tab w:leader="none" w:pos="6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the Company may request the issuance of Facility LCs for its own account or for the account of any Subsidiary, and denominated in either Canadian Dollars or US Dollars,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to, or entered into by any Borrower with, the Issuing Bank relating to any Facility LC, the terms and conditions of this Agreement shall control.</w:t>
      </w:r>
    </w:p>
    <w:p>
      <w:pPr>
        <w:spacing w:after="0" w:line="115" w:lineRule="exact"/>
        <w:rPr>
          <w:rFonts w:ascii="Arial" w:cs="Arial" w:eastAsia="Arial" w:hAnsi="Arial"/>
          <w:sz w:val="16"/>
          <w:szCs w:val="16"/>
          <w:color w:val="auto"/>
        </w:rPr>
      </w:pPr>
    </w:p>
    <w:p>
      <w:pPr>
        <w:ind w:left="-20" w:firstLine="464"/>
        <w:spacing w:after="0" w:line="286"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Facility LC (or the amendment, renewal or extension of an outstanding Facility LC), the Company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Facility LC, or identifying the Facility LC to be amended, renewed or extended, and specifying the date of issuance, amendment, renewal or extension (which shall be a Business Day), the date on which such Facility LC is to expire (which shall comply with paragraph (c) of this Section), the amount of such Facility LC, the name of the Borrower on whose account the Facility LC is to be issued, the name and address of the beneficiary thereof and such other information as shall be necessary to prepare, amend, renew or extend such Facility LC. If requested by the Issuing Bank, the Company also shall submit a letter of credit application on the Issuing Bank’s standard form in connection with any request for a Facility LC. A Facility LC shall be issued, amended, renewed or extended only if (and upon issuance, amendment, renewal or extension of each Facility LC the Borrowers shall be deemed to represent and warrant that), after giving effect to such issuance, amendment, renewal or extension the sum of the total Revolving Credit Exposures shall not exceed the Aggregate Revolving Loan Commitments.</w:t>
      </w:r>
    </w:p>
    <w:p>
      <w:pPr>
        <w:spacing w:after="0" w:line="127" w:lineRule="exact"/>
        <w:rPr>
          <w:rFonts w:ascii="Arial" w:cs="Arial" w:eastAsia="Arial" w:hAnsi="Arial"/>
          <w:sz w:val="16"/>
          <w:szCs w:val="16"/>
          <w:color w:val="auto"/>
        </w:rPr>
      </w:pPr>
    </w:p>
    <w:p>
      <w:pPr>
        <w:ind w:left="-20" w:firstLine="464"/>
        <w:spacing w:after="0" w:line="259" w:lineRule="auto"/>
        <w:tabs>
          <w:tab w:leader="none" w:pos="67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Facility LC shall expire at or prior to the close of business on the earlier of (i) the date one year after the date of the issuance of such Facility LC (or, in the case of any renewal or extension thereof, one year after such renewal or extension) and (ii) the date that is five (5) Business Days prior to the Revolving Credit Termination Date.</w:t>
      </w:r>
    </w:p>
    <w:p>
      <w:pPr>
        <w:spacing w:after="0" w:line="140" w:lineRule="exact"/>
        <w:rPr>
          <w:rFonts w:ascii="Arial" w:cs="Arial" w:eastAsia="Arial" w:hAnsi="Arial"/>
          <w:sz w:val="18"/>
          <w:szCs w:val="18"/>
          <w:color w:val="auto"/>
        </w:rPr>
      </w:pPr>
    </w:p>
    <w:p>
      <w:pPr>
        <w:ind w:left="-20" w:firstLine="464"/>
        <w:spacing w:after="0" w:line="288"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Facility LC (or an amendment to a Facility LC increasing the amount thereof) and without any further action on the part of the Issuing Bank or the Lenders, the Issuing Bank hereby grants to each Lender, and each Lender hereby acquires from the Issuing Bank, a participation in such Facility LC equal to such Lender’s Applicable Revolving Loan Percentage of the aggregate amount available to be drawn under such Facility LC. In consideration and in furtherance of the foregoing, each Lender hereby absolutely and unconditionally agrees to pay to the Administrative Agent, for the account of the Issuing Bank, such Lender’s Applicable Revolving Loan Percentage of each LC Disbursement made by the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Facility LCs is absolute and unconditional and shall not be affected by any circumstance whatsoever, including any amendment, renewal or extension of any Facility LC or the occurrence and continuance of a Default or reduction or termination of the Revolving Loan Commitments,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each such payment shall be made without any offset, abatement, withholding or reduction whatsoever.</w:t>
      </w:r>
    </w:p>
    <w:p>
      <w:pPr>
        <w:spacing w:after="0" w:line="171" w:lineRule="exact"/>
        <w:rPr>
          <w:sz w:val="20"/>
          <w:szCs w:val="20"/>
          <w:color w:val="auto"/>
        </w:rPr>
      </w:pPr>
    </w:p>
    <w:p>
      <w:pPr>
        <w:ind w:firstLine="464"/>
        <w:spacing w:after="0" w:line="284" w:lineRule="auto"/>
        <w:tabs>
          <w:tab w:leader="none" w:pos="695"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LC Disbursement in respect of a Facility LC, the Borrowers shall reimburse such LC Disbursement by paying to the Administrative Agent an amount equal to such LC Disbursement not later than 12:00 noon,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12:00 noon, New York City time, on (i) the Business Day that the Company receives such notice, if such notice is received prior to 10:00 a.m., New York City time, on the day of receipt, or (ii) the Business Day immediately following the day that the Company receives such notice, if such notice is not received prior to such time on the day of receipt; provided that, if such LC Disbursement is not less than $500,000.00, the Company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that such payment be financed with a Canadian Prime Rate Borrowing, an ABR Revolving Borrowing or Swingline Loan in an equivalent amount and, to the extent so financed, the Borrowers’ obligation to make such payment shall be discharged and replaced by the resulting Canadian Prime Rate Borrowing, ABR Revolving Borrowing or Swingline Loan. If the Borrowers fail to make such payment when due, the Administrative Agent shall notify each Lender of the applicable LC Disbursement, the payment then due from the Borrowers in respect thereof and such Lender’s Applicable Revolving Loan Percentage thereof. Promptly following receipt of such notice, each Lender shall pay to the Administrative Agent its Applicable Revolving Loan Percentage of the payment then due from the Borrowers,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mutatis mutandis, to the payment obligations of the Lenders), and the Administrative Agent shall promptly pay to the Issuing Bank the amounts so received by it from the Lenders. Promptly following receipt by the Administrative Agent of any payment from the Borrowers pursuant to this paragraph, the Administrative Agent shall distribute such payment to the Issuing Bank or, to the extent that the Lenders have made payments pursuant to this paragraph to reimburse the Issuing Bank, then to such the Lenders and the Issuing Bank as their interests may appear. Any payment made by a Lender pursuant to this paragraph to reimburse the Issuing Bank for any LC Disbursement (other than the funding of a Canadian Prime Rate Loan, ABR Revolving Loan or Swingline Loan as contemplated above) shall not constitute a Loan and shall not relieve the Borrowers of their obligation to reimburse such LC Disbursement.</w:t>
      </w:r>
    </w:p>
    <w:p>
      <w:pPr>
        <w:spacing w:after="0" w:line="131" w:lineRule="exact"/>
        <w:rPr>
          <w:rFonts w:ascii="Arial" w:cs="Arial" w:eastAsia="Arial" w:hAnsi="Arial"/>
          <w:sz w:val="16"/>
          <w:szCs w:val="16"/>
          <w:color w:val="auto"/>
        </w:rPr>
      </w:pPr>
    </w:p>
    <w:p>
      <w:pPr>
        <w:ind w:right="280" w:firstLine="464"/>
        <w:spacing w:after="0" w:line="302" w:lineRule="auto"/>
        <w:tabs>
          <w:tab w:leader="none" w:pos="676"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Obligations Absolute</w:t>
      </w:r>
      <w:r>
        <w:rPr>
          <w:rFonts w:ascii="Arial" w:cs="Arial" w:eastAsia="Arial" w:hAnsi="Arial"/>
          <w:sz w:val="15"/>
          <w:szCs w:val="15"/>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Facility LC or this Agreement, or any term or provision therein, (ii) any draft or other document presented under a Facility LC proving to be forged, fraudulent or invalid in any respect or any statement therein being untrue or inaccurate in any respect,</w:t>
      </w:r>
    </w:p>
    <w:p>
      <w:pPr>
        <w:spacing w:after="0" w:line="2" w:lineRule="exact"/>
        <w:rPr>
          <w:rFonts w:ascii="Arial" w:cs="Arial" w:eastAsia="Arial" w:hAnsi="Arial"/>
          <w:sz w:val="15"/>
          <w:szCs w:val="15"/>
          <w:color w:val="auto"/>
        </w:rPr>
      </w:pPr>
    </w:p>
    <w:p>
      <w:pPr>
        <w:ind w:right="160" w:firstLine="8"/>
        <w:spacing w:after="0" w:line="290" w:lineRule="auto"/>
        <w:tabs>
          <w:tab w:leader="none" w:pos="3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payment by the Issuing Bank under a Facility LC against presentation of a draft or other document that does not comply with the terms of such Facility LC,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Facility LC or any payment or failure to make any payment thereunder (irrespective of any of the circumstances referred to in the preceding sentence), or any error, omission, interruption, loss or delay in transmission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any draft, notice or other communication under or relating to any Facility LC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Borrowers to the extent of any direct damages (as opposed to consequential damages, claims in respect of which are hereby waived by the Borrowers to the extent permitted by applicable law) suffered by any of the Borrowers that are caused by the Issuing Bank’s failure to exercise care when determining whether drafts and other documents presented under a Facility LC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Facility LC,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Facility LC.</w:t>
      </w:r>
    </w:p>
    <w:p>
      <w:pPr>
        <w:spacing w:after="0" w:line="127" w:lineRule="exact"/>
        <w:rPr>
          <w:sz w:val="20"/>
          <w:szCs w:val="20"/>
          <w:color w:val="auto"/>
        </w:rPr>
      </w:pPr>
    </w:p>
    <w:p>
      <w:pPr>
        <w:jc w:val="both"/>
        <w:ind w:right="120" w:firstLine="464"/>
        <w:spacing w:after="0" w:line="298"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Disbursement Procedures</w:t>
      </w:r>
      <w:r>
        <w:rPr>
          <w:rFonts w:ascii="Arial" w:cs="Arial" w:eastAsia="Arial" w:hAnsi="Arial"/>
          <w:sz w:val="16"/>
          <w:szCs w:val="16"/>
          <w:color w:val="auto"/>
        </w:rPr>
        <w:t>. The Issuing Bank shall, promptly following its receipt thereof, examine all documents purporting to represent a demand for payment under a Facility LC. The Issuing Bank shall promptly notify the Administrative Agent and the Company by telephone (confirmed by telecopy) of such demand for payment and whether the Issuing Bank has made or will make an LC Disbursement thereunder; provided that any failure to give or delay in giving such notice shall not relieve the Borrowers of their obligation to reimburse the Issuing Bank and the Lenders with respect to any such LC Disbursement.</w:t>
      </w:r>
    </w:p>
    <w:p>
      <w:pPr>
        <w:spacing w:after="0" w:line="112"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Canadian Prime Rate Revolving Loans (if the LC Disbursement is in Canadian Dollars) or ABR Revolving Loans (if the LC Disbursement is in US Dollars); provided that, if the Borrowers fail to reimburse such LC Disbursement when due pursuant to paragraph (e)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18" w:lineRule="exact"/>
        <w:rPr>
          <w:rFonts w:ascii="Arial" w:cs="Arial" w:eastAsia="Arial" w:hAnsi="Arial"/>
          <w:sz w:val="16"/>
          <w:szCs w:val="16"/>
          <w:color w:val="auto"/>
        </w:rPr>
      </w:pPr>
    </w:p>
    <w:p>
      <w:pPr>
        <w:ind w:firstLine="464"/>
        <w:spacing w:after="0" w:line="290" w:lineRule="auto"/>
        <w:tabs>
          <w:tab w:leader="none" w:pos="66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Replacement of the Issuing Bank</w:t>
      </w:r>
      <w:r>
        <w:rPr>
          <w:rFonts w:ascii="Arial" w:cs="Arial" w:eastAsia="Arial" w:hAnsi="Arial"/>
          <w:sz w:val="16"/>
          <w:szCs w:val="16"/>
          <w:color w:val="auto"/>
        </w:rPr>
        <w:t>. The Issuing Bank may be replaced at any time by written agreement among the Borrowers, the Administrative Agent, the replaced Issuing Bank and the successor Issuing Bank. The Administrative Agent shall notify the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Facility LCs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67" w:name="page68"/>
    <w:bookmarkEnd w:id="67"/>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obligations of an Issuing Bank under this Agreement with respect to Facility LCs issued by it prior to such replacement, but shall not be required to issue additional Facility LCs.</w:t>
      </w:r>
    </w:p>
    <w:p>
      <w:pPr>
        <w:spacing w:after="0" w:line="132" w:lineRule="exact"/>
        <w:rPr>
          <w:sz w:val="20"/>
          <w:szCs w:val="20"/>
          <w:color w:val="auto"/>
        </w:rPr>
      </w:pPr>
    </w:p>
    <w:p>
      <w:pPr>
        <w:ind w:firstLine="464"/>
        <w:spacing w:after="0" w:line="285" w:lineRule="auto"/>
        <w:tabs>
          <w:tab w:leader="none" w:pos="66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the Lenders with LC Exposure representing greater than fifty percent (50%) of the total LC Exposure) demanding the deposit of cash collateral pursuant to this paragraph, the Borrowers shall deposit in an account with the Administrative Agent, in the name of the Administrative Agent and for the benefit of the Lenders, an amount in cash equal to the LC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any of the Borrowers described in clause (h) or (i) of ARTICLE VII.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the Lenders with LC Exposure representing greater than fifty percent (50%) of the total LC Exposure),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90"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 Administrative Agent will make such Loans available to the Company or the applicable Canadian Borrower, as the case may be, by promptly crediting the amounts so received, in like funds, to an account of the Company or the applicable Canadian Borrower, maintained with the Administrative Agent in Tulsa, Oklahoma or elsewhere and designated by the Company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and Canadian Prime Rate Revolving Loans made to finance the reimbursement of an LC Disbursement as provided in </w:t>
      </w:r>
      <w:r>
        <w:rPr>
          <w:rFonts w:ascii="Arial" w:cs="Arial" w:eastAsia="Arial" w:hAnsi="Arial"/>
          <w:sz w:val="16"/>
          <w:szCs w:val="16"/>
          <w:u w:val="single" w:color="auto"/>
          <w:color w:val="auto"/>
        </w:rPr>
        <w:t>Section 2.06(e)</w:t>
      </w:r>
      <w:r>
        <w:rPr>
          <w:rFonts w:ascii="Arial" w:cs="Arial" w:eastAsia="Arial" w:hAnsi="Arial"/>
          <w:sz w:val="16"/>
          <w:szCs w:val="16"/>
          <w:color w:val="auto"/>
        </w:rPr>
        <w:t xml:space="preserve"> shall be remitted by the Administrative Agent to the Issuing Bank.</w:t>
      </w:r>
    </w:p>
    <w:p>
      <w:pPr>
        <w:spacing w:after="0" w:line="118" w:lineRule="exact"/>
        <w:rPr>
          <w:rFonts w:ascii="Arial" w:cs="Arial" w:eastAsia="Arial" w:hAnsi="Arial"/>
          <w:sz w:val="16"/>
          <w:szCs w:val="16"/>
          <w:color w:val="auto"/>
        </w:rPr>
      </w:pPr>
    </w:p>
    <w:p>
      <w:pPr>
        <w:ind w:right="120" w:firstLine="464"/>
        <w:spacing w:after="0" w:line="25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Borrowers a corresponding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68" w:name="page69"/>
    <w:bookmarkEnd w:id="6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such Lender, the greater of either the Federal Funds Effective Rate (in the case of US Dollar-denominated amounts) or the Administrative Agent’s cost of funds (in the case of Canadian Dollar-denominated amounts) and a rate determined by the Administrative Agent in accordance with banking industry rules on interbank compensation or (ii) in the case of the Borrowers, the interest rate applicable to ABR Loans (in the case of US Dollar-denominated amounts) or Canadian Prime Rate Revolving Loans (in the case of Canadian Dollar-denominated amounts). If such Lender pays such amount to the Administrative Agent, then such amount shall constitute such Lender’s Loan included in such Borrowing.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89"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Revolving Borrowing initially shall be of the Type specified in the applicable Borrowing Request and, in the case of a CDOR Revolving Borrowing or Eurodollar Revolving Borrowing, shall have an initial Interest Period as specified in such Borrowing Request. Thereafter, the Company may elect to convert such Borrowing to a different Type or to continue such Borrowing and, in the case of a Eurodollar Revolving Borrowing or CDOR Revolving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provided that a Borrowing in one currency may only be converted to another Type of Borrowing denominated in the same currency as the Borrowing to be so converted. This Section shall not apply to Swingline Borrowings, which may not be converted or continued.</w:t>
      </w:r>
    </w:p>
    <w:p>
      <w:pPr>
        <w:spacing w:after="0" w:line="118" w:lineRule="exact"/>
        <w:rPr>
          <w:rFonts w:ascii="Arial" w:cs="Arial" w:eastAsia="Arial" w:hAnsi="Arial"/>
          <w:sz w:val="16"/>
          <w:szCs w:val="16"/>
          <w:color w:val="auto"/>
        </w:rPr>
      </w:pPr>
    </w:p>
    <w:p>
      <w:pPr>
        <w:ind w:firstLine="464"/>
        <w:spacing w:after="0" w:line="323" w:lineRule="auto"/>
        <w:tabs>
          <w:tab w:leader="none" w:pos="705"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To make an election pursuant to this Section, the Company shall notify the Administrative Agent of such election by telephone by the time that a Borrowing Request would be required under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if the Company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Company.</w:t>
      </w:r>
    </w:p>
    <w:p>
      <w:pPr>
        <w:spacing w:after="0" w:line="97" w:lineRule="exact"/>
        <w:rPr>
          <w:rFonts w:ascii="Arial" w:cs="Arial" w:eastAsia="Arial" w:hAnsi="Arial"/>
          <w:sz w:val="15"/>
          <w:szCs w:val="15"/>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59" w:lineRule="auto"/>
        <w:tabs>
          <w:tab w:leader="none" w:pos="112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of a Borrowing, the portions thereof to be allocated to each resulting Borrowing (in which case the information to be specified pursuant to clauses (iii) and (iv) below shall be specified for each resulting Borrowing);</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69" w:name="page70"/>
    <w:bookmarkEnd w:id="69"/>
    <w:p>
      <w:pPr>
        <w:ind w:right="280" w:firstLine="921"/>
        <w:spacing w:after="0" w:line="268"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resulting Borrowing, if in Canadian Dollars, is to be a Canadian Prime Rate Borrowing or a CDOR Rate Borrowing, or, if in US Dollars, is to be an ABR Borrowing or a Eurodollar Borrowing; and</w:t>
      </w:r>
    </w:p>
    <w:p>
      <w:pPr>
        <w:spacing w:after="0" w:line="131" w:lineRule="exact"/>
        <w:rPr>
          <w:rFonts w:ascii="Arial" w:cs="Arial" w:eastAsia="Arial" w:hAnsi="Arial"/>
          <w:sz w:val="18"/>
          <w:szCs w:val="18"/>
          <w:color w:val="auto"/>
        </w:rPr>
      </w:pPr>
    </w:p>
    <w:p>
      <w:pPr>
        <w:ind w:right="20" w:firstLine="921"/>
        <w:spacing w:after="0" w:line="268" w:lineRule="auto"/>
        <w:tabs>
          <w:tab w:leader="none" w:pos="12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resulting Borrowing is a CDOR Borrowing or Eurodollar Borrowing, the Interest Period to be applicable thereto after giving effect to such election, which shall be a period contemplated by the definition of the term “Interest Period”.</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any such Interest Election Request requests a CDOR Borrowing or Eurodollar Borrowing but does not specify an Interest Period, then the Company shall be deemed to have selected an Interest Period of 30 days for a CDOR Borrowing or one month for a Eurodollar Borrowing.</w:t>
      </w:r>
    </w:p>
    <w:p>
      <w:pPr>
        <w:spacing w:after="0" w:line="132" w:lineRule="exact"/>
        <w:rPr>
          <w:sz w:val="20"/>
          <w:szCs w:val="20"/>
          <w:color w:val="auto"/>
        </w:rPr>
      </w:pPr>
    </w:p>
    <w:p>
      <w:pPr>
        <w:ind w:right="56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if any, of each Borrowing affected by such Interest Election Request.</w:t>
      </w:r>
    </w:p>
    <w:p>
      <w:pPr>
        <w:spacing w:after="0" w:line="131" w:lineRule="exact"/>
        <w:rPr>
          <w:rFonts w:ascii="Arial" w:cs="Arial" w:eastAsia="Arial" w:hAnsi="Arial"/>
          <w:sz w:val="18"/>
          <w:szCs w:val="18"/>
          <w:color w:val="auto"/>
        </w:rPr>
      </w:pPr>
    </w:p>
    <w:p>
      <w:pPr>
        <w:ind w:right="40" w:firstLine="464"/>
        <w:spacing w:after="0" w:line="25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then (i) no outstanding Borrowing may be converted to or continued as a Eurodollar Borrowing and (ii) unless repaid, each Eurodollar Borrowing shall be converted to an ABR Borrowing at the end of the Interest Period applicable thereto.</w:t>
      </w:r>
    </w:p>
    <w:p>
      <w:pPr>
        <w:spacing w:after="0" w:line="142" w:lineRule="exact"/>
        <w:rPr>
          <w:rFonts w:ascii="Arial" w:cs="Arial" w:eastAsia="Arial" w:hAnsi="Arial"/>
          <w:sz w:val="18"/>
          <w:szCs w:val="18"/>
          <w:color w:val="auto"/>
        </w:rPr>
      </w:pPr>
    </w:p>
    <w:p>
      <w:pPr>
        <w:ind w:firstLine="464"/>
        <w:spacing w:after="0" w:line="254" w:lineRule="auto"/>
        <w:tabs>
          <w:tab w:leader="none" w:pos="6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fails to deliver a timely Interest Election Request with respect to a CDOR Rate Borrowing prior to the end of the Interest Period applicable thereto, then, unless such Borrowing is repaid as provided herein, at the end of such Interest Period such Borrowing shall be converted to a Canadian Prime Rate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CDOR Rate Borrowing and (ii) unless repaid, each CDOR Rate Borrowing shall be converted to a Canadian Prime Rate Borrowing at the end of the Interest Period applicable thereto.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Revolving Loan Commitments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previously terminated, the Revolving Loan Commitments shall terminate on the Revolving Credit Termination Date.</w:t>
      </w:r>
    </w:p>
    <w:p>
      <w:pPr>
        <w:spacing w:after="0" w:line="171" w:lineRule="exact"/>
        <w:rPr>
          <w:rFonts w:ascii="Arial" w:cs="Arial" w:eastAsia="Arial" w:hAnsi="Arial"/>
          <w:sz w:val="18"/>
          <w:szCs w:val="18"/>
          <w:color w:val="auto"/>
        </w:rPr>
      </w:pPr>
    </w:p>
    <w:p>
      <w:pPr>
        <w:ind w:right="60" w:firstLine="464"/>
        <w:spacing w:after="0" w:line="298"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Company may at any time terminate, or from time to time reduce, the Revolving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Revolving Loan Commitments shall be in an amount that is an integral multiple of $5,000,000.00 and not less than $5,000,000.00 and (ii) the Company shall not terminate or reduce the Revolving Loan Commitments if, after giving effect to any concurrent prepayment of the Loans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the aggregate Revolving Credit Exposures would exceed the Aggregate Revolving Loan Commitments.</w:t>
      </w:r>
    </w:p>
    <w:p>
      <w:pPr>
        <w:spacing w:after="0" w:line="112" w:lineRule="exact"/>
        <w:rPr>
          <w:rFonts w:ascii="Arial" w:cs="Arial" w:eastAsia="Arial" w:hAnsi="Arial"/>
          <w:sz w:val="16"/>
          <w:szCs w:val="16"/>
          <w:color w:val="auto"/>
        </w:rPr>
      </w:pPr>
    </w:p>
    <w:p>
      <w:pPr>
        <w:ind w:right="220" w:firstLine="464"/>
        <w:spacing w:after="0" w:line="332"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notify the Administrative Agent of any election to terminate or reduce the Revolving Loan Commitments under paragraph (b) of this Section at least three (3) Business Days prior to the effective date of such termination or reduction, specifying such election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70" w:name="page71"/>
    <w:bookmarkEnd w:id="7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Loan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Revolving Loan Commitments shall be permanent. Each reduction of the Revolving Loan Commitments shall be made ratably among the Lenders in accordance with their respective Revolving Loan Commitments.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5"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Borrowers hereby unconditionally promise to pay (i) to the Administrative Agent for the account of each Lender the then unpaid principal amount of each Revolving Loan on the Revolving Credit Termination Date; and (ii) to the Swingline Lender the then unpaid principal amount of each Swingline Loan on the earlier of the Revolving Credit Termination Date and the first date after such Swingline Loan is made that is the 15</w:t>
      </w:r>
      <w:r>
        <w:rPr>
          <w:rFonts w:ascii="Arial" w:cs="Arial" w:eastAsia="Arial" w:hAnsi="Arial"/>
          <w:sz w:val="11"/>
          <w:szCs w:val="11"/>
          <w:color w:val="auto"/>
        </w:rPr>
        <w:t>th</w:t>
      </w:r>
      <w:r>
        <w:rPr>
          <w:rFonts w:ascii="Arial" w:cs="Arial" w:eastAsia="Arial" w:hAnsi="Arial"/>
          <w:sz w:val="18"/>
          <w:szCs w:val="18"/>
          <w:color w:val="auto"/>
        </w:rPr>
        <w:t xml:space="preserve"> or last day of a calendar month and is at least two (2)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Borrowers shall repay all Swingline Loans then outstanding.</w:t>
      </w:r>
    </w:p>
    <w:p>
      <w:pPr>
        <w:spacing w:after="0" w:line="142" w:lineRule="exact"/>
        <w:rPr>
          <w:rFonts w:ascii="Arial" w:cs="Arial" w:eastAsia="Arial" w:hAnsi="Arial"/>
          <w:sz w:val="18"/>
          <w:szCs w:val="18"/>
          <w:color w:val="auto"/>
        </w:rPr>
      </w:pPr>
    </w:p>
    <w:p>
      <w:pPr>
        <w:ind w:right="20" w:firstLine="464"/>
        <w:spacing w:after="0" w:line="306"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at any time the total of all Revolving Credit Exposures exceeds the Aggregate Revolving Loan Commitments, the Borrowers shall immediately repay Revolving Loans in an aggregate principal amount sufficient to eliminate any such excess. If the Revolving Loans have been paid in full, such repayment (or the portion thereof remaining after payment of the Revolving Loans in full) shall be applied to cash collateralize the Letters of Credit.</w:t>
      </w:r>
    </w:p>
    <w:p>
      <w:pPr>
        <w:spacing w:after="0" w:line="106" w:lineRule="exact"/>
        <w:rPr>
          <w:rFonts w:ascii="Arial" w:cs="Arial" w:eastAsia="Arial" w:hAnsi="Arial"/>
          <w:sz w:val="16"/>
          <w:szCs w:val="16"/>
          <w:color w:val="auto"/>
        </w:rPr>
      </w:pPr>
    </w:p>
    <w:p>
      <w:pPr>
        <w:ind w:right="180" w:firstLine="464"/>
        <w:spacing w:after="0" w:line="370" w:lineRule="auto"/>
        <w:tabs>
          <w:tab w:leader="none" w:pos="695"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62" w:lineRule="exact"/>
        <w:rPr>
          <w:rFonts w:ascii="Arial" w:cs="Arial" w:eastAsia="Arial" w:hAnsi="Arial"/>
          <w:sz w:val="15"/>
          <w:szCs w:val="15"/>
          <w:color w:val="auto"/>
        </w:rPr>
      </w:pPr>
    </w:p>
    <w:p>
      <w:pPr>
        <w:ind w:right="80" w:firstLine="464"/>
        <w:spacing w:after="0" w:line="256"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43" w:lineRule="exact"/>
        <w:rPr>
          <w:rFonts w:ascii="Arial" w:cs="Arial" w:eastAsia="Arial" w:hAnsi="Arial"/>
          <w:sz w:val="18"/>
          <w:szCs w:val="18"/>
          <w:color w:val="auto"/>
        </w:rPr>
      </w:pPr>
    </w:p>
    <w:p>
      <w:pPr>
        <w:ind w:right="60" w:firstLine="464"/>
        <w:spacing w:after="0" w:line="306"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(e) or (f)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06" w:lineRule="exact"/>
        <w:rPr>
          <w:rFonts w:ascii="Arial" w:cs="Arial" w:eastAsia="Arial" w:hAnsi="Arial"/>
          <w:sz w:val="16"/>
          <w:szCs w:val="16"/>
          <w:color w:val="auto"/>
        </w:rPr>
      </w:pPr>
    </w:p>
    <w:p>
      <w:pPr>
        <w:jc w:val="both"/>
        <w:ind w:right="120" w:firstLine="464"/>
        <w:spacing w:after="0" w:line="298" w:lineRule="auto"/>
        <w:tabs>
          <w:tab w:leader="none" w:pos="6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Any Lender may request that Loans made by it be evidenced by a promissory note. In such event, Agent shall prepare and the Borrowers shall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to the order of the payee named therein (or, if such promissory note is a registered note, to such payee and its registered assigns). Each Note in favor of a Designating Lender shall be deemed to include and represent the obligations to repay the Canadian Dollar Loans funded by the Designated Lender as part of such Designating Lender’s Revolving Loan Commitment.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6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Borrowers shall have the right at any time and from time to time to prepay any Borrowing in whole or in part, subject to prior notice in accordance with paragraph (b).</w:t>
      </w:r>
    </w:p>
    <w:p>
      <w:pPr>
        <w:spacing w:after="0" w:line="131" w:lineRule="exact"/>
        <w:rPr>
          <w:rFonts w:ascii="Arial" w:cs="Arial" w:eastAsia="Arial" w:hAnsi="Arial"/>
          <w:sz w:val="18"/>
          <w:szCs w:val="18"/>
          <w:color w:val="auto"/>
        </w:rPr>
      </w:pPr>
    </w:p>
    <w:p>
      <w:pPr>
        <w:ind w:right="140" w:firstLine="464"/>
        <w:spacing w:after="0" w:line="286"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Company shall notify the Administrative Agent (and, in the case of prepayment of a Swingline Loan, the Swingline Lender) by telephone (confirmed by telecopy) of any prepayment by the Borrowers hereunder (i) in the case of prepayment of a CDOR Rate Borrowing or Eurodollar Borrowing, not later than 11:00 a.m., New York City time, three (3) Business Days before the date of prepayment, (ii) in the case of prepayment of a Canadian Prime Rate Borrowing or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Revolving Loan Commitments as contemplated by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Promptly following receipt of any such notice,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the account of each Lender an Unused Revolving Credit Facility Fee, which shall accrue at the rate per annum set forth below on the daily amount of the unused Revolving Loan Commitment of such Lender during the period from and including the Closing Date to but excluding the date on which such Revolving Loan Commitment terminates: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7"/>
              </w:rPr>
              <w:t>Unused Revolving Credit</w:t>
            </w:r>
          </w:p>
        </w:tc>
      </w:tr>
      <w:tr>
        <w:trPr>
          <w:trHeight w:val="175"/>
        </w:trPr>
        <w:tc>
          <w:tcPr>
            <w:tcW w:w="4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Senior Leverage Ratio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7"/>
              </w:rPr>
              <w:t>Facility Fee (bps)</w:t>
            </w:r>
          </w:p>
        </w:tc>
      </w:tr>
      <w:tr>
        <w:trPr>
          <w:trHeight w:val="210"/>
        </w:trPr>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³ 2.00 to 1.00</w:t>
            </w:r>
          </w:p>
        </w:tc>
        <w:tc>
          <w:tcPr>
            <w:tcW w:w="14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08"/>
        </w:trPr>
        <w:tc>
          <w:tcPr>
            <w:tcW w:w="4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&lt; 2.00 to 1.00, but ³ 1.50 to</w:t>
            </w: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15"/>
        </w:trPr>
        <w:tc>
          <w:tcPr>
            <w:tcW w:w="4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&lt; 1.50 to 1.00, but ³ 1.00 to</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38"/>
        </w:trPr>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22"/>
        </w:trPr>
        <w:tc>
          <w:tcPr>
            <w:tcW w:w="40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&lt; 1.00 to 1.00</w:t>
            </w: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30</w:t>
            </w:r>
          </w:p>
        </w:tc>
      </w:tr>
    </w:tbl>
    <w:p>
      <w:pPr>
        <w:spacing w:after="0" w:line="14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The Unused Revolving Credit Facility Fee shall be determined in accordance with the foregoing table based on the Senior Leverage Ratio as reflected in the then most recent financial statements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Adjustments, if any, to the Unused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72" w:name="page73"/>
    <w:bookmarkEnd w:id="72"/>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Revolving Credit Facility Fee shall be effective on the Margin Adjustment Date. If the Company fails to deliver the financial statements to the Administrative Agent at the time required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then the Unused Revolving Credit Facility Fee shall be adjusted to the highest fee set forth in the foregoing table until five (5) Business Days after such financial statements are so delivered. If at any time previously issued financial statements are adjusted or restated by the Company after delivery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correct an error contained therein, then any resulting changes in the Unused Revolving Credit Facility Fee that would arise from any change in the Senior Leverage Ratio as determined according to the adjusted or restated financial statements shall be effective retroactively as if such adjusted or restated financial statements had been delivered at the time originally required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Accrued Unused Revolving Credit Facility Fees shall be payable in arrears on the first day of each fiscal quarter (currently</w:t>
      </w:r>
    </w:p>
    <w:p>
      <w:pPr>
        <w:ind w:right="40"/>
        <w:spacing w:after="0" w:line="292" w:lineRule="auto"/>
        <w:rPr>
          <w:sz w:val="20"/>
          <w:szCs w:val="20"/>
          <w:color w:val="auto"/>
        </w:rPr>
      </w:pPr>
      <w:r>
        <w:rPr>
          <w:rFonts w:ascii="Arial" w:cs="Arial" w:eastAsia="Arial" w:hAnsi="Arial"/>
          <w:sz w:val="16"/>
          <w:szCs w:val="16"/>
          <w:color w:val="auto"/>
        </w:rPr>
        <w:t xml:space="preserve">January 1, April 1, July 1, and October 1 of each year) and on the date on which the Revolving Loan Commitments terminate, commencing on the first such date to occur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Unused Revolving Credit Facility Fees accruing after the date on which the Revolving Loan Commitments terminate shall be payable on demand and (ii) any additional Unused Revolving Credit Facility Fees accruing due to adjusted or restated financial statements and determined after they would have been payable hereunder shall be payable on demand. All Unused Revolving Credit Facility Fees shall be computed on the basis of a year of 360 days and shall be payable for the actual number of days elapsed (including the first day but excluding the last day).</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Borrowers agree to pay (i) to the Administrative Agent for the account of each Lender a participation fee with respect to its participations in Facility LCs, which shall accrue at a rate per annum equal to the Applicable Rate for Eurodollar Revolving Loans in the case of Facility LCs denominated in US Dollars and at a rate per annum applicable to the Applicable Rate for Canadian Prime Rate Revolving Loans in the case of Facility LCs denominated in Canadian Dollars, on the average daily amount of such Lender’s LC Exposure (excluding any portion thereof attributable to unreimbursed LC Disbursements) during the period from and including the Closing Date to but excluding the later of the date on which such Lender’s Revolving Loan Commitment terminates and the date on which such Lender ceases to have any LC Exposure, and (ii) to the Issuing Bank a fronting fee of 0.125% per annum of the face of amount of each Facility LC, as well as the Issuing Bank’s standard fees with respect to the issuance, documentation, processing, amendment, renewal or extension of any Facility LC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Loan Commitments terminate and any such fees accruing after the date on which the Revolving Loan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21" w:lineRule="exact"/>
        <w:rPr>
          <w:sz w:val="20"/>
          <w:szCs w:val="20"/>
          <w:color w:val="auto"/>
        </w:rPr>
      </w:pPr>
    </w:p>
    <w:p>
      <w:pPr>
        <w:ind w:right="42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131"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Issuing Bank, in the case of fees payable to it)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in the case of facility fees and participation fees, to the Lenders. Fees paid shall not be refundable under any circumstances.</w:t>
      </w:r>
    </w:p>
    <w:p>
      <w:pPr>
        <w:spacing w:after="0" w:line="171" w:lineRule="exact"/>
        <w:rPr>
          <w:sz w:val="20"/>
          <w:szCs w:val="20"/>
          <w:color w:val="auto"/>
        </w:rPr>
      </w:pPr>
    </w:p>
    <w:p>
      <w:pPr>
        <w:ind w:right="40" w:firstLine="464"/>
        <w:spacing w:after="0" w:line="335" w:lineRule="auto"/>
        <w:tabs>
          <w:tab w:leader="none" w:pos="705"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The Company shall pay the cost of all audits, inspections, valuations and/or field examinations conducted pursuant to </w:t>
      </w:r>
      <w:r>
        <w:rPr>
          <w:rFonts w:ascii="Arial" w:cs="Arial" w:eastAsia="Arial" w:hAnsi="Arial"/>
          <w:sz w:val="15"/>
          <w:szCs w:val="15"/>
          <w:u w:val="single" w:color="auto"/>
          <w:color w:val="auto"/>
        </w:rPr>
        <w:t>Section 5.06</w:t>
      </w:r>
      <w:r>
        <w:rPr>
          <w:rFonts w:ascii="Arial" w:cs="Arial" w:eastAsia="Arial" w:hAnsi="Arial"/>
          <w:sz w:val="15"/>
          <w:szCs w:val="15"/>
          <w:color w:val="auto"/>
        </w:rPr>
        <w:t>, provided that if no Event of Default shall be continuing, the Company shall not be required to pay for (i) any such audit, inspection, valuation and/or field examination conducted prior to the date one (1) year after the Closing Date or (ii) more than two (2) such audits, inspections, valuations and/or field examinations per calendar year.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Loans comprising each ABR Borrowing (including each Swingline Loan denominated in US Dollars) shall bear interest at the Alternate Base Rate plus the Applicable Rate. The Loans comprising each Canadian Prime Rate Borrowing (including each Swingline Loan denominated in Canadian Dollars) shall bear interest at the Canadian Prime Rate plus the Applicable Rate.</w:t>
      </w:r>
    </w:p>
    <w:p>
      <w:pPr>
        <w:spacing w:after="0" w:line="140"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the Adjusted LIBO Rate for the Interest Period in effect for such Borrowing plus the Applicable Rate.</w:t>
      </w:r>
    </w:p>
    <w:p>
      <w:pPr>
        <w:spacing w:after="0" w:line="131" w:lineRule="exact"/>
        <w:rPr>
          <w:rFonts w:ascii="Arial" w:cs="Arial" w:eastAsia="Arial" w:hAnsi="Arial"/>
          <w:sz w:val="18"/>
          <w:szCs w:val="18"/>
          <w:color w:val="auto"/>
        </w:rPr>
      </w:pPr>
    </w:p>
    <w:p>
      <w:pPr>
        <w:ind w:right="520" w:firstLine="464"/>
        <w:spacing w:after="0" w:line="26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Loans comprising each CDOR Borrowing shall bear interest at the CDOR Rate for the Interest Period in effect for such Borrowing plus the Applicable Rate.</w:t>
      </w:r>
    </w:p>
    <w:p>
      <w:pPr>
        <w:spacing w:after="0" w:line="131" w:lineRule="exact"/>
        <w:rPr>
          <w:rFonts w:ascii="Arial" w:cs="Arial" w:eastAsia="Arial" w:hAnsi="Arial"/>
          <w:sz w:val="18"/>
          <w:szCs w:val="18"/>
          <w:color w:val="auto"/>
        </w:rPr>
      </w:pPr>
    </w:p>
    <w:p>
      <w:pPr>
        <w:ind w:right="60" w:firstLine="464"/>
        <w:spacing w:after="0" w:line="253"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(ii) in the case of overdue interest on any CDOR Rate Borrowing, 2% plus the rate applicable to CDOR Rate Loans as provided in paragraph (c) of this Section, (iii) in the case of any other amount denominated in US Dollars, 2% plus the rate applicable to ABR Loans as provided in paragraph (a) of this Section, or (iv) in the case of any other amount denominated in Canadian Dollars, 2% plus the rate applicable to Canadian Prime Rate Loans as provided in paragraph (a) of this Section.</w:t>
      </w:r>
    </w:p>
    <w:p>
      <w:pPr>
        <w:spacing w:after="0" w:line="147" w:lineRule="exact"/>
        <w:rPr>
          <w:rFonts w:ascii="Arial" w:cs="Arial" w:eastAsia="Arial" w:hAnsi="Arial"/>
          <w:sz w:val="18"/>
          <w:szCs w:val="18"/>
          <w:color w:val="auto"/>
        </w:rPr>
      </w:pPr>
    </w:p>
    <w:p>
      <w:pPr>
        <w:ind w:firstLine="464"/>
        <w:spacing w:after="0" w:line="290"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Revolving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(d) of this Section shall be payable on demand, (ii) in the event of any repayment or prepayment of any Loan (other than a prepayment of a Canadian Prime Rate Revolving Loan or an ABR Revolving Loan prior to the end of the Availability Period), accrued interest on the principal amount repaid or prepaid shall be payable on the date of such repayment or prepayment, (iii) in the event of any conversion of any CDOR Rate Loan or Eurodollar Loan prior to the end of the current Interest Period therefor, accrued interest on such Loan shall be payable on the effective date of such conversion, and (iv) any additional accrued interest accruing due to adjusted or restated financial statements to correct an error contained therein and determined after such interest would have been payable hereunder shall be payable on demand.</w:t>
      </w:r>
    </w:p>
    <w:p>
      <w:pPr>
        <w:spacing w:after="0" w:line="118" w:lineRule="exact"/>
        <w:rPr>
          <w:rFonts w:ascii="Arial" w:cs="Arial" w:eastAsia="Arial" w:hAnsi="Arial"/>
          <w:sz w:val="16"/>
          <w:szCs w:val="16"/>
          <w:color w:val="auto"/>
        </w:rPr>
      </w:pPr>
    </w:p>
    <w:p>
      <w:pPr>
        <w:ind w:right="60" w:firstLine="464"/>
        <w:spacing w:after="0" w:line="268" w:lineRule="auto"/>
        <w:tabs>
          <w:tab w:leader="none" w:pos="6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 interest computed by reference to the Alternate Base Rate at times when the Alternate Base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280" w:right="339" w:bottom="1440" w:gutter="0" w:footer="0" w:header="0"/>
        </w:sectPr>
      </w:pPr>
    </w:p>
    <w:bookmarkStart w:id="74" w:name="page75"/>
    <w:bookmarkEnd w:id="7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is based on the Prime Rate shall be computed on the basis of a year of 365 days (or 366 days in a leap year), and in each case shall be payable for the actual number of days elapsed (including the first day but excluding the last day) and (ii) interest computed by reference to the Canadian Prime Rate or the CDOR Rate shall be computed on the basis of a year of 365 days (or 366 days in a leap year), and in each case shall be payable for the actual number of days elapsed (including the first day but excluding the last day). The applicable Alternate Base Rate, Adjusted LIBO Rate, Canadian Prime Rate, CDOR Rate, or LIBO Rate shall be determined by the Administrative Agent, and such determination shall be conclusive absent manifest error.</w:t>
      </w:r>
    </w:p>
    <w:p>
      <w:pPr>
        <w:spacing w:after="0" w:line="116" w:lineRule="exact"/>
        <w:rPr>
          <w:sz w:val="20"/>
          <w:szCs w:val="20"/>
          <w:color w:val="auto"/>
        </w:rPr>
      </w:pPr>
    </w:p>
    <w:p>
      <w:pPr>
        <w:ind w:right="200" w:firstLine="464"/>
        <w:spacing w:after="0" w:line="259"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 purposes of the Interest Act (Canada), where in this Agreement or any other Loan Document a rate of interest is to be calculated on the basis of a year of 360, 365 or 366 days, the yearly rate of interest to which the rate is equivalent is the rate multiplied by the number of days in the year for which the calculation is made and divided by 360, 365 or 366, as applicable.</w:t>
      </w:r>
    </w:p>
    <w:p>
      <w:pPr>
        <w:spacing w:after="0" w:line="140" w:lineRule="exact"/>
        <w:rPr>
          <w:rFonts w:ascii="Arial" w:cs="Arial" w:eastAsia="Arial" w:hAnsi="Arial"/>
          <w:sz w:val="18"/>
          <w:szCs w:val="18"/>
          <w:color w:val="auto"/>
        </w:rPr>
      </w:pPr>
    </w:p>
    <w:p>
      <w:pPr>
        <w:ind w:firstLine="464"/>
        <w:spacing w:after="0" w:line="285"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If any provision of this Agreement or of any of the other Loan Documents would obligate any Credit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firstly, by reducing the amount or rate of interest required to be paid to the Lenders under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(2)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Credit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w:t>
      </w:r>
      <w:r>
        <w:rPr>
          <w:rFonts w:ascii="Arial" w:cs="Arial" w:eastAsia="Arial" w:hAnsi="Arial"/>
          <w:sz w:val="16"/>
          <w:szCs w:val="16"/>
          <w:u w:val="single" w:color="auto"/>
          <w:color w:val="auto"/>
        </w:rPr>
        <w:t>Section 2.13(g)</w:t>
      </w:r>
      <w:r>
        <w:rPr>
          <w:rFonts w:ascii="Arial" w:cs="Arial" w:eastAsia="Arial" w:hAnsi="Arial"/>
          <w:sz w:val="16"/>
          <w:szCs w:val="16"/>
          <w:color w:val="auto"/>
        </w:rPr>
        <w:t xml:space="preserve">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earliest possible date to the Revolving Credit Termination Date and, in the event of a dispute, a certificate of a Fellow of the Canadian Institute of Actuaries appointed by the Administrative Agent shall be conclusive for the purposes of such determination.</w:t>
      </w:r>
    </w:p>
    <w:p>
      <w:pPr>
        <w:spacing w:after="0" w:line="126" w:lineRule="exact"/>
        <w:rPr>
          <w:rFonts w:ascii="Arial" w:cs="Arial" w:eastAsia="Arial" w:hAnsi="Arial"/>
          <w:sz w:val="16"/>
          <w:szCs w:val="16"/>
          <w:color w:val="auto"/>
        </w:rPr>
      </w:pPr>
    </w:p>
    <w:p>
      <w:pPr>
        <w:ind w:right="100" w:firstLine="464"/>
        <w:spacing w:after="0" w:line="283" w:lineRule="auto"/>
        <w:tabs>
          <w:tab w:leader="none" w:pos="666"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In the event that any financial statement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shown to be inaccurate (regardless of whether this Agreement or the Revolving Loan Commitments are in effect when such inaccuracy is discovered), and such inaccuracy, if corrected, would have led to the application of a higher Applicable Rate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the Company shall immediately (a) deliver to the Administrative Agent a corrected Compliance Certificate for such Applicable Period, (b) determine the Applicable Rate for such Applicable Period based upon the corrected compliance certificate, and</w:t>
      </w:r>
    </w:p>
    <w:p>
      <w:pPr>
        <w:spacing w:after="0" w:line="2" w:lineRule="exact"/>
        <w:rPr>
          <w:rFonts w:ascii="Arial" w:cs="Arial" w:eastAsia="Arial" w:hAnsi="Arial"/>
          <w:sz w:val="16"/>
          <w:szCs w:val="16"/>
          <w:color w:val="auto"/>
        </w:rPr>
      </w:pPr>
    </w:p>
    <w:p>
      <w:pPr>
        <w:ind w:left="240" w:hanging="232"/>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immediately pay to the Administrative Agent for the benefit of the Lenders the accrued additional interest and other fees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5" w:name="page76"/>
    <w:bookmarkEnd w:id="75"/>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owing as a result of such increased Applicable Rate for such Applicable Period, which payment shall be promptly distributed by the Administrative Agent to the Lenders entitled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Eurodollar Borrowing:</w:t>
      </w:r>
    </w:p>
    <w:p>
      <w:pPr>
        <w:spacing w:after="0" w:line="171" w:lineRule="exact"/>
        <w:rPr>
          <w:rFonts w:ascii="Arial" w:cs="Arial" w:eastAsia="Arial" w:hAnsi="Arial"/>
          <w:sz w:val="18"/>
          <w:szCs w:val="18"/>
          <w:color w:val="auto"/>
        </w:rPr>
      </w:pPr>
    </w:p>
    <w:p>
      <w:pPr>
        <w:ind w:right="80" w:firstLine="921"/>
        <w:spacing w:after="0" w:line="268" w:lineRule="auto"/>
        <w:tabs>
          <w:tab w:leader="none" w:pos="11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or the LIBO Rate for such Interest Period; or</w:t>
      </w:r>
    </w:p>
    <w:p>
      <w:pPr>
        <w:spacing w:after="0" w:line="131" w:lineRule="exact"/>
        <w:rPr>
          <w:rFonts w:ascii="Arial" w:cs="Arial" w:eastAsia="Arial" w:hAnsi="Arial"/>
          <w:sz w:val="18"/>
          <w:szCs w:val="18"/>
          <w:color w:val="auto"/>
        </w:rPr>
      </w:pPr>
    </w:p>
    <w:p>
      <w:pPr>
        <w:ind w:right="40" w:firstLine="921"/>
        <w:spacing w:after="0" w:line="332" w:lineRule="auto"/>
        <w:tabs>
          <w:tab w:leader="none" w:pos="1171"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Administrative Agent is advised by the Required Lenders that the Adjusted LIBO Rate for such Interest Period will not adequately and fairly reflect the cost to such the Lenders (or Lender) of making or maintaining their Loans (or its Loan) included in such Borrowing for such Interest Period;</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then the Administrative Agent shall give notice thereof to the Company and the Lenders by telephone or telecopy as promptly as practicable thereafter and, until the Administrative Agent notifies the Company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such Borrowing shall be made as an ABR Borrowing; provided that if the circumstances giving rise to such notice affect only one Type of Borrowings, then the other Type of Borrowings shall be permitted.</w:t>
      </w:r>
    </w:p>
    <w:p>
      <w:pPr>
        <w:spacing w:after="0" w:line="116"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CDOR Borrowing:</w:t>
      </w:r>
    </w:p>
    <w:p>
      <w:pPr>
        <w:spacing w:after="0" w:line="171" w:lineRule="exact"/>
        <w:rPr>
          <w:rFonts w:ascii="Arial" w:cs="Arial" w:eastAsia="Arial" w:hAnsi="Arial"/>
          <w:sz w:val="18"/>
          <w:szCs w:val="18"/>
          <w:color w:val="auto"/>
        </w:rPr>
      </w:pPr>
    </w:p>
    <w:p>
      <w:pPr>
        <w:ind w:right="80" w:firstLine="921"/>
        <w:spacing w:after="0" w:line="268" w:lineRule="auto"/>
        <w:tabs>
          <w:tab w:leader="none" w:pos="112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CDOR Rate for such Interest Period; or</w:t>
      </w:r>
    </w:p>
    <w:p>
      <w:pPr>
        <w:spacing w:after="0" w:line="131" w:lineRule="exact"/>
        <w:rPr>
          <w:rFonts w:ascii="Arial" w:cs="Arial" w:eastAsia="Arial" w:hAnsi="Arial"/>
          <w:sz w:val="18"/>
          <w:szCs w:val="18"/>
          <w:color w:val="auto"/>
        </w:rPr>
      </w:pPr>
    </w:p>
    <w:p>
      <w:pPr>
        <w:ind w:right="140" w:firstLine="921"/>
        <w:spacing w:after="0" w:line="332" w:lineRule="auto"/>
        <w:tabs>
          <w:tab w:leader="none" w:pos="117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Administrative Agent is advised by the Required Lenders that the CDOR Rate for such Interest Period will not adequately and fairly reflect the cost to such Lenders of making or maintaining their Loans (or its Loan) included in such Borrowing for such Interest Period;</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then the Administrative Agent shall give notice thereof to the Company and the Lenders by telephone or facsimile as promptly as practicable thereafter and, until the Administrative Agent notifies the Company and the Lenders that the circumstances giving rise to such notice no longer exist, (i) any Interest Election Request that requests the continuation of any Borrowing as, a CDOR Rate Borrowing shall be ineffective, and (ii) if any Borrowing Request requests a CDOR Borrowing, such Borrowing shall be made as a Canadian Prime Rate Borrowing.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71" w:lineRule="exact"/>
        <w:rPr>
          <w:rFonts w:ascii="Arial" w:cs="Arial" w:eastAsia="Arial" w:hAnsi="Arial"/>
          <w:sz w:val="18"/>
          <w:szCs w:val="18"/>
          <w:color w:val="auto"/>
        </w:rPr>
      </w:pPr>
    </w:p>
    <w:p>
      <w:pPr>
        <w:ind w:right="260" w:firstLine="921"/>
        <w:spacing w:after="0" w:line="332" w:lineRule="auto"/>
        <w:tabs>
          <w:tab w:leader="none" w:pos="1123" w:val="left"/>
        </w:tabs>
        <w:numPr>
          <w:ilvl w:val="1"/>
          <w:numId w:val="57"/>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the account of, or credit extended by, any Lender (except any such reserve requirement reflected in the Adjusted LIBO Rate) or the Issuing Bank;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76" w:name="page77"/>
    <w:bookmarkEnd w:id="76"/>
    <w:p>
      <w:pPr>
        <w:ind w:right="560" w:firstLine="921"/>
        <w:spacing w:after="0" w:line="268" w:lineRule="auto"/>
        <w:tabs>
          <w:tab w:leader="none" w:pos="1171"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 on any Lender or the Issuing Bank or the London interbank market any other condition affecting this Agreement or CDOR Loans, Eurodollar Loans or ABR Loans made by such Lender or any Letter of Credit or participation therein; or</w:t>
      </w:r>
    </w:p>
    <w:p>
      <w:pPr>
        <w:spacing w:after="0" w:line="131" w:lineRule="exact"/>
        <w:rPr>
          <w:rFonts w:ascii="Arial" w:cs="Arial" w:eastAsia="Arial" w:hAnsi="Arial"/>
          <w:sz w:val="18"/>
          <w:szCs w:val="18"/>
          <w:color w:val="auto"/>
        </w:rPr>
      </w:pPr>
    </w:p>
    <w:p>
      <w:pPr>
        <w:ind w:right="20" w:firstLine="921"/>
        <w:spacing w:after="0" w:line="259"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any Recipient to any Taxes on its loans, loan principal, letters of credit, commitments, or other obligations, or its deposits, reserves, other liabilities or capital attributable thereto (other than (A) Indemnified Taxes and (B) Other Connection Taxes on gross or net income, profits or revenue (including value-added or similar Taxes));</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or maintaining any CDOR Rate Loan, Eurodollar Loan or ABR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20" w:lineRule="exact"/>
        <w:rPr>
          <w:sz w:val="20"/>
          <w:szCs w:val="20"/>
          <w:color w:val="auto"/>
        </w:rPr>
      </w:pPr>
    </w:p>
    <w:p>
      <w:pPr>
        <w:ind w:firstLine="464"/>
        <w:spacing w:after="0" w:line="290"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any Lender or the Issuing Bank determines that any Change in Law regarding capital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18" w:lineRule="exact"/>
        <w:rPr>
          <w:rFonts w:ascii="Arial" w:cs="Arial" w:eastAsia="Arial" w:hAnsi="Arial"/>
          <w:sz w:val="16"/>
          <w:szCs w:val="16"/>
          <w:color w:val="auto"/>
        </w:rPr>
      </w:pPr>
    </w:p>
    <w:p>
      <w:pPr>
        <w:ind w:right="320" w:firstLine="464"/>
        <w:spacing w:after="0" w:line="256"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Company and shall be conclusive absent manifest error. The Borrowers shall pay such Lender or the Issuing Bank,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Failure or delay on the part of any Lender or the Issuing Bank to demand compensation pursuant to this Section shall not constitute a waiver of such Lender’s or the Issuing Bank’s right to demand such compensation; provided that the Borrowers shall not be required to compensate a Lender or the Issuing Bank pursuant to this Section for any increased costs or reductions incurred more than 270 days prior to the date that such Lender or the Issuing Bank, as the case may be, notifies the Company of the Change in Law giving rise to such increased costs or reductions and of such Lender’s or the Issuing Bank’s intention to claim compensation therefor; provided further that, if the Change in Law giving rise to such increased costs or reductions is retroactive, then the 270-day period referred to above shall be extended to include the period of retroactive effect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77" w:name="page78"/>
    <w:bookmarkEnd w:id="77"/>
    <w:p>
      <w:pPr>
        <w:ind w:right="20" w:firstLine="456"/>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2.16. </w:t>
      </w:r>
      <w:r>
        <w:rPr>
          <w:rFonts w:ascii="Arial" w:cs="Arial" w:eastAsia="Arial" w:hAnsi="Arial"/>
          <w:sz w:val="15"/>
          <w:szCs w:val="15"/>
          <w:u w:val="single" w:color="auto"/>
          <w:color w:val="auto"/>
        </w:rPr>
        <w:t>Break Funding Payments</w:t>
      </w:r>
      <w:r>
        <w:rPr>
          <w:rFonts w:ascii="Arial" w:cs="Arial" w:eastAsia="Arial" w:hAnsi="Arial"/>
          <w:sz w:val="15"/>
          <w:szCs w:val="15"/>
          <w:color w:val="auto"/>
        </w:rPr>
        <w:t xml:space="preserve">. In the event of (a) the payment of any principal of any Eurodollar Loan or CDOR Rate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or CDOR Rate Loan on the date specified in any notice delivered pursuant hereto (regardless of whether such notice may be revoked under </w:t>
      </w:r>
      <w:r>
        <w:rPr>
          <w:rFonts w:ascii="Arial" w:cs="Arial" w:eastAsia="Arial" w:hAnsi="Arial"/>
          <w:sz w:val="15"/>
          <w:szCs w:val="15"/>
          <w:u w:val="single" w:color="auto"/>
          <w:color w:val="auto"/>
        </w:rPr>
        <w:t>Section 2.11(b)</w:t>
      </w:r>
      <w:r>
        <w:rPr>
          <w:rFonts w:ascii="Arial" w:cs="Arial" w:eastAsia="Arial" w:hAnsi="Arial"/>
          <w:sz w:val="15"/>
          <w:szCs w:val="15"/>
          <w:color w:val="auto"/>
        </w:rPr>
        <w:t xml:space="preserve"> and is revoked in accordance therewith), or (d) the assignment of any Eurodollar Loan or CDOR Rate Loan other than on the last day of the Interest Period applicable thereto as a result of a request by the Company pursuant to </w:t>
      </w:r>
      <w:r>
        <w:rPr>
          <w:rFonts w:ascii="Arial" w:cs="Arial" w:eastAsia="Arial" w:hAnsi="Arial"/>
          <w:sz w:val="15"/>
          <w:szCs w:val="15"/>
          <w:u w:val="single" w:color="auto"/>
          <w:color w:val="auto"/>
        </w:rPr>
        <w:t>Section 2.19</w:t>
      </w:r>
      <w:r>
        <w:rPr>
          <w:rFonts w:ascii="Arial" w:cs="Arial" w:eastAsia="Arial" w:hAnsi="Arial"/>
          <w:sz w:val="15"/>
          <w:szCs w:val="15"/>
          <w:color w:val="auto"/>
        </w:rPr>
        <w:t>, then, in any such event, the Borrowers shall compensate each Lender for the loss, cost and expense attributable to such event. In the case of a Eurodollar Loan or CDOR Rate Loan, such loss, cost or expense to any Lender shall be deemed to include an amount determined by such Lender to be the excess, if any, of (i) the amount of interest which would have accrued on the principal amount of such Loan had such event not occurred, at the Adjusted LIBO Rate or the CDOR Rate plus the Applicable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US Dollar deposits of a comparable amount and period to such Eurodollar Loan from other banks in the eurodollar market, or for Canadian Dollar deposits of a comparable amount and period to such CDOR Rate Loan from other banks in the Canadian bankers’ acceptance market.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ten</w:t>
      </w:r>
    </w:p>
    <w:p>
      <w:pPr>
        <w:spacing w:after="0" w:line="3" w:lineRule="exact"/>
        <w:rPr>
          <w:sz w:val="20"/>
          <w:szCs w:val="20"/>
          <w:color w:val="auto"/>
        </w:rPr>
      </w:pPr>
    </w:p>
    <w:p>
      <w:pPr>
        <w:jc w:val="right"/>
        <w:ind w:left="460" w:right="9260" w:hanging="452"/>
        <w:spacing w:after="0" w:line="521" w:lineRule="auto"/>
        <w:tabs>
          <w:tab w:leader="none" w:pos="3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days after receipt thereof. SECTION 2.17.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firstLine="464"/>
        <w:spacing w:after="0" w:line="254" w:lineRule="auto"/>
        <w:tabs>
          <w:tab w:leader="none" w:pos="69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 of Taxes; Gross-Up</w:t>
      </w:r>
      <w:r>
        <w:rPr>
          <w:rFonts w:ascii="Arial" w:cs="Arial" w:eastAsia="Arial" w:hAnsi="Arial"/>
          <w:sz w:val="18"/>
          <w:szCs w:val="18"/>
          <w:color w:val="auto"/>
        </w:rPr>
        <w:t>. Each payment by any Credit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Credit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44" w:lineRule="exact"/>
        <w:rPr>
          <w:rFonts w:ascii="Arial" w:cs="Arial" w:eastAsia="Arial" w:hAnsi="Arial"/>
          <w:sz w:val="18"/>
          <w:szCs w:val="18"/>
          <w:color w:val="auto"/>
        </w:rPr>
      </w:pPr>
    </w:p>
    <w:p>
      <w:pPr>
        <w:ind w:right="20" w:firstLine="464"/>
        <w:spacing w:after="0" w:line="268"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The Borrowers shall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jc w:val="both"/>
        <w:ind w:right="240" w:firstLine="464"/>
        <w:spacing w:after="0" w:line="306" w:lineRule="auto"/>
        <w:tabs>
          <w:tab w:leader="none" w:pos="69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by any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right="40" w:firstLine="464"/>
        <w:spacing w:after="0" w:line="268"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each Recipient for any Indemnified Taxes that are paid or payable by such Recipient in connection with any Loan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78" w:name="page79"/>
    <w:bookmarkEnd w:id="7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 (including amounts paid or payable under this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and any reasonable expenses arising therefrom or with respect thereto, whether or not such Indemnified Taxes were correctly or legally imposed or asserted by the relevant Governmental Authority. The indemnity under this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shall be paid within 10 days after the Recipient delivers to the Company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16" w:lineRule="exact"/>
        <w:rPr>
          <w:sz w:val="20"/>
          <w:szCs w:val="20"/>
          <w:color w:val="auto"/>
        </w:rPr>
      </w:pPr>
    </w:p>
    <w:p>
      <w:pPr>
        <w:ind w:firstLine="464"/>
        <w:spacing w:after="0" w:line="25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for any Taxes (but, in the case of any Indemnified Taxes, only to the extent that the Borrowers have not already indemnified the Administrative Agent for such Indemnified Taxes and without limiting the obligation of the Borrowers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147" w:lineRule="exact"/>
        <w:rPr>
          <w:rFonts w:ascii="Arial" w:cs="Arial" w:eastAsia="Arial" w:hAnsi="Arial"/>
          <w:sz w:val="18"/>
          <w:szCs w:val="18"/>
          <w:color w:val="auto"/>
        </w:rPr>
      </w:pPr>
    </w:p>
    <w:p>
      <w:pPr>
        <w:ind w:left="680" w:hanging="21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Status of the Lenders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86" w:lineRule="auto"/>
        <w:tabs>
          <w:tab w:leader="none" w:pos="1123"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any applicable withholding Tax with respect to any payments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or at a reduced rate of, withholding. In addition, any Lender, if requested by the Company or the Administrative Agent, shall deliver such other documentation prescribed by law or reasonably requested by the Company or the Administrative Agent as will enable the Company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2.17(f)(ii)(A)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below) shall not be required if in the Lender’s judgment such completion, execution or submission would subject such Lender to any material unreimbursed cost or expense or would materially prejudice the legal or commercial position of such Lender. Upon the reasonable request of the Company or the Administrative Agent, any Lender shall promptly update any form or certification previously delivered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If any form or certification previously delivered pursuant to this Section expires or becomes obsolete or inaccurate in any respect with respect to a Lender, such Lender shall promptly (and in any event within 10 days after such expiration, obsolescence or inaccuracy) notify the Company and the Administrative Agent in writing of such expiration, obsolescence or inaccuracy and update the form or certification if it is legally eligible to do so.</w:t>
      </w:r>
    </w:p>
    <w:p>
      <w:pPr>
        <w:spacing w:after="0" w:line="120" w:lineRule="exact"/>
        <w:rPr>
          <w:rFonts w:ascii="Arial" w:cs="Arial" w:eastAsia="Arial" w:hAnsi="Arial"/>
          <w:sz w:val="16"/>
          <w:szCs w:val="16"/>
          <w:color w:val="auto"/>
        </w:rPr>
      </w:pPr>
    </w:p>
    <w:p>
      <w:pPr>
        <w:ind w:right="60" w:firstLine="921"/>
        <w:spacing w:after="0" w:line="306" w:lineRule="auto"/>
        <w:tabs>
          <w:tab w:leader="none" w:pos="1171" w:val="left"/>
        </w:tabs>
        <w:numPr>
          <w:ilvl w:val="1"/>
          <w:numId w:val="61"/>
        </w:numPr>
        <w:rPr>
          <w:rFonts w:ascii="Arial" w:cs="Arial" w:eastAsia="Arial" w:hAnsi="Arial"/>
          <w:sz w:val="16"/>
          <w:szCs w:val="16"/>
          <w:color w:val="auto"/>
        </w:rPr>
      </w:pPr>
      <w:r>
        <w:rPr>
          <w:rFonts w:ascii="Arial" w:cs="Arial" w:eastAsia="Arial" w:hAnsi="Arial"/>
          <w:sz w:val="16"/>
          <w:szCs w:val="16"/>
          <w:color w:val="auto"/>
        </w:rPr>
        <w:t>Without limiting the generality of the foregoing, if any Borrower is a U.S. Person, any Lender with respect to such Borrower shall, if it is legally eligible to do so, deliver to the Company and the Administrative Agent (in such number of copies reasonably requested by the Borrower and the Administrative Agent) on or prior to the date on which such Lender becomes a party hereto, duly completed and executed copies of whichever of the following is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79" w:name="page80"/>
    <w:bookmarkEnd w:id="79"/>
    <w:p>
      <w:pPr>
        <w:ind w:left="1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in the case of a Lender that is a U.S. Person, IRS Form W-9 certifying that such Lender is exempt from U.S. Federal backup withholding</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tax;</w:t>
      </w:r>
    </w:p>
    <w:p>
      <w:pPr>
        <w:spacing w:after="0" w:line="84" w:lineRule="exact"/>
        <w:rPr>
          <w:sz w:val="20"/>
          <w:szCs w:val="20"/>
          <w:color w:val="auto"/>
        </w:rPr>
      </w:pPr>
    </w:p>
    <w:p>
      <w:pPr>
        <w:ind w:left="860" w:right="60" w:firstLine="421"/>
        <w:spacing w:after="0" w:line="255" w:lineRule="auto"/>
        <w:tabs>
          <w:tab w:leader="none" w:pos="15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(1) with respect to payments of interest under any this Agreement or any other Loan Document, IRS Form W-8BEN establishing an exemption from, or reduction of, U.S. Federal withholding Tax pursuant to the “interest” article of such tax treaty and (2) with respect to any other applicable payments under this Agreement, IRS Form W-8BEN establishing an exemption from, or reduction of, U.S. Federal withholding Tax pursuant to the “business profits” or “other income” article of such tax treaty;</w:t>
      </w:r>
    </w:p>
    <w:p>
      <w:pPr>
        <w:spacing w:after="0" w:line="61" w:lineRule="exact"/>
        <w:rPr>
          <w:rFonts w:ascii="Arial" w:cs="Arial" w:eastAsia="Arial" w:hAnsi="Arial"/>
          <w:sz w:val="18"/>
          <w:szCs w:val="18"/>
          <w:color w:val="auto"/>
        </w:rPr>
      </w:pPr>
    </w:p>
    <w:p>
      <w:pPr>
        <w:ind w:left="860" w:right="540" w:firstLine="421"/>
        <w:spacing w:after="0" w:line="268" w:lineRule="auto"/>
        <w:tabs>
          <w:tab w:leader="none" w:pos="15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case of a Foreign Lender for whom payments under this Agreement constitute income that is effectively connected with such Lender’s conduct of a trade or business in the United States, IRS Form W-8ECI;</w:t>
      </w:r>
    </w:p>
    <w:p>
      <w:pPr>
        <w:spacing w:after="0" w:line="50" w:lineRule="exact"/>
        <w:rPr>
          <w:rFonts w:ascii="Arial" w:cs="Arial" w:eastAsia="Arial" w:hAnsi="Arial"/>
          <w:sz w:val="18"/>
          <w:szCs w:val="18"/>
          <w:color w:val="auto"/>
        </w:rPr>
      </w:pPr>
    </w:p>
    <w:p>
      <w:pPr>
        <w:jc w:val="both"/>
        <w:ind w:left="860" w:right="20" w:firstLine="421"/>
        <w:spacing w:after="0" w:line="294" w:lineRule="auto"/>
        <w:tabs>
          <w:tab w:leader="none" w:pos="156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both (1) IRS Form W-8BEN and (2) a certificate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 “</w:t>
      </w:r>
      <w:r>
        <w:rPr>
          <w:rFonts w:ascii="Arial" w:cs="Arial" w:eastAsia="Arial" w:hAnsi="Arial"/>
          <w:sz w:val="16"/>
          <w:szCs w:val="16"/>
          <w:u w:val="single" w:color="auto"/>
          <w:color w:val="auto"/>
        </w:rPr>
        <w:t>U.S. Tax Certificate</w:t>
      </w:r>
      <w:r>
        <w:rPr>
          <w:rFonts w:ascii="Arial" w:cs="Arial" w:eastAsia="Arial" w:hAnsi="Arial"/>
          <w:sz w:val="16"/>
          <w:szCs w:val="16"/>
          <w:color w:val="auto"/>
        </w:rPr>
        <w:t>”) to the effect that such Lender is not (a) a “bank” within the meaning of Section 881(c)(3)(A) of the Code, (b) a “10 percent shareholder” of the Company within the meaning of Section 881(c)(3)(B) of the Code (c) a “controlled foreign corporation” described in Section 881(c)(3)(C) of the Code and (d) conducting a trade or business in the United States with which the relevant interest payments are effectively connected;</w:t>
      </w:r>
    </w:p>
    <w:p>
      <w:pPr>
        <w:spacing w:after="0" w:line="34" w:lineRule="exact"/>
        <w:rPr>
          <w:rFonts w:ascii="Arial" w:cs="Arial" w:eastAsia="Arial" w:hAnsi="Arial"/>
          <w:sz w:val="16"/>
          <w:szCs w:val="16"/>
          <w:color w:val="auto"/>
        </w:rPr>
      </w:pPr>
    </w:p>
    <w:p>
      <w:pPr>
        <w:ind w:left="860" w:right="80" w:firstLine="421"/>
        <w:spacing w:after="0" w:line="294" w:lineRule="auto"/>
        <w:tabs>
          <w:tab w:leader="none" w:pos="1548"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the case of a Foreign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U.S. Tax Certificate on behalf of such partners; or</w:t>
      </w:r>
    </w:p>
    <w:p>
      <w:pPr>
        <w:spacing w:after="0" w:line="34" w:lineRule="exact"/>
        <w:rPr>
          <w:rFonts w:ascii="Arial" w:cs="Arial" w:eastAsia="Arial" w:hAnsi="Arial"/>
          <w:sz w:val="16"/>
          <w:szCs w:val="16"/>
          <w:color w:val="auto"/>
        </w:rPr>
      </w:pPr>
    </w:p>
    <w:p>
      <w:pPr>
        <w:ind w:left="860" w:right="120" w:firstLine="421"/>
        <w:spacing w:after="0" w:line="259" w:lineRule="auto"/>
        <w:tabs>
          <w:tab w:leader="none" w:pos="153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other form prescribed by law as a basis for claiming exemption from, or a reduction of, U.S. Federal withholding Tax together with such supplementary documentation necessary to enable the Company or the Administrative Agent to determine the amount of Tax (if any) required by law to be withheld.</w:t>
      </w:r>
    </w:p>
    <w:p>
      <w:pPr>
        <w:spacing w:after="0" w:line="140" w:lineRule="exact"/>
        <w:rPr>
          <w:rFonts w:ascii="Arial" w:cs="Arial" w:eastAsia="Arial" w:hAnsi="Arial"/>
          <w:sz w:val="18"/>
          <w:szCs w:val="18"/>
          <w:color w:val="auto"/>
        </w:rPr>
      </w:pPr>
    </w:p>
    <w:p>
      <w:pPr>
        <w:jc w:val="both"/>
        <w:ind w:left="-60" w:firstLine="921"/>
        <w:spacing w:after="0" w:line="255"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300" w:top="280" w:right="279" w:bottom="1440" w:gutter="0" w:footer="0" w:header="0"/>
        </w:sectPr>
      </w:pPr>
    </w:p>
    <w:bookmarkStart w:id="80" w:name="page81"/>
    <w:bookmarkEnd w:id="80"/>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2.17(f)(iii), “FATCA” shall include any amendments made to FATCA after the date of this Agreement.</w:t>
      </w:r>
    </w:p>
    <w:p>
      <w:pPr>
        <w:spacing w:after="0" w:line="107" w:lineRule="exact"/>
        <w:rPr>
          <w:sz w:val="20"/>
          <w:szCs w:val="20"/>
          <w:color w:val="auto"/>
        </w:rPr>
      </w:pPr>
    </w:p>
    <w:p>
      <w:pPr>
        <w:ind w:firstLine="464"/>
        <w:spacing w:after="0" w:line="283"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Treatment of Certain Refunds.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(including additional amounts paid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w:t>
      </w:r>
    </w:p>
    <w:p>
      <w:pPr>
        <w:ind w:right="8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2.17(g)</w:t>
      </w:r>
      <w:r>
        <w:rPr>
          <w:rFonts w:ascii="Arial" w:cs="Arial" w:eastAsia="Arial" w:hAnsi="Arial"/>
          <w:sz w:val="18"/>
          <w:szCs w:val="18"/>
          <w:color w:val="auto"/>
        </w:rPr>
        <w:t xml:space="preserve">, in no event will any indemnified party be required to pay any amount to any indemnifying party pursuant to this </w:t>
      </w:r>
      <w:r>
        <w:rPr>
          <w:rFonts w:ascii="Arial" w:cs="Arial" w:eastAsia="Arial" w:hAnsi="Arial"/>
          <w:sz w:val="18"/>
          <w:szCs w:val="18"/>
          <w:u w:val="single" w:color="auto"/>
          <w:color w:val="auto"/>
        </w:rPr>
        <w:t>Section 2.17(g)</w:t>
      </w:r>
      <w:r>
        <w:rPr>
          <w:rFonts w:ascii="Arial" w:cs="Arial" w:eastAsia="Arial" w:hAnsi="Arial"/>
          <w:sz w:val="18"/>
          <w:szCs w:val="18"/>
          <w:color w:val="auto"/>
        </w:rPr>
        <w:t xml:space="preserve"> if such indemnified party can demonstrate in good faith that such payment would place such indemnified party in a less favorable position (on a net after-Tax basis) than such indemnified party would have been in if the indemnification payments or additional amounts giving rise to such refund had never been paid. This </w:t>
      </w:r>
      <w:r>
        <w:rPr>
          <w:rFonts w:ascii="Arial" w:cs="Arial" w:eastAsia="Arial" w:hAnsi="Arial"/>
          <w:sz w:val="18"/>
          <w:szCs w:val="18"/>
          <w:u w:val="single" w:color="auto"/>
          <w:color w:val="auto"/>
        </w:rPr>
        <w:t>Section 2.17(g)</w:t>
      </w:r>
      <w:r>
        <w:rPr>
          <w:rFonts w:ascii="Arial" w:cs="Arial" w:eastAsia="Arial" w:hAnsi="Arial"/>
          <w:sz w:val="18"/>
          <w:szCs w:val="18"/>
          <w:color w:val="auto"/>
        </w:rPr>
        <w:t xml:space="preserve"> shall not be construed to require any indemnified party to make available its Tax returns (or any other information relating to its Taxes which it deems confidential) to the indemnifying party or any other Person.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87"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Borrowers shall make each payment required to be made by the Borrowers hereunder (whether of principal, interest, fees or reimbursement of LC Disbursements, or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otherwise) prior to 12:00 noon,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except payments to be made directly to the Issuing Bank or Swingline Lender as expressly provided herein and except that payments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and, if not otherwise specified, in US Dollars.</w:t>
      </w:r>
    </w:p>
    <w:p>
      <w:pPr>
        <w:spacing w:after="0" w:line="122" w:lineRule="exact"/>
        <w:rPr>
          <w:rFonts w:ascii="Arial" w:cs="Arial" w:eastAsia="Arial" w:hAnsi="Arial"/>
          <w:sz w:val="16"/>
          <w:szCs w:val="16"/>
          <w:color w:val="auto"/>
        </w:rPr>
      </w:pPr>
    </w:p>
    <w:p>
      <w:pPr>
        <w:ind w:right="500" w:firstLine="464"/>
        <w:spacing w:after="0" w:line="332"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81" w:name="page82"/>
    <w:bookmarkEnd w:id="81"/>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40" w:lineRule="exact"/>
        <w:rPr>
          <w:sz w:val="20"/>
          <w:szCs w:val="20"/>
          <w:color w:val="auto"/>
        </w:rPr>
      </w:pPr>
    </w:p>
    <w:p>
      <w:pPr>
        <w:ind w:firstLine="464"/>
        <w:spacing w:after="0" w:line="285"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the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28" w:lineRule="exact"/>
        <w:rPr>
          <w:rFonts w:ascii="Arial" w:cs="Arial" w:eastAsia="Arial" w:hAnsi="Arial"/>
          <w:sz w:val="16"/>
          <w:szCs w:val="16"/>
          <w:color w:val="auto"/>
        </w:rPr>
      </w:pPr>
    </w:p>
    <w:p>
      <w:pPr>
        <w:ind w:right="40" w:firstLine="464"/>
        <w:spacing w:after="0" w:line="289"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any Borrower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18" w:lineRule="exact"/>
        <w:rPr>
          <w:rFonts w:ascii="Arial" w:cs="Arial" w:eastAsia="Arial" w:hAnsi="Arial"/>
          <w:sz w:val="16"/>
          <w:szCs w:val="16"/>
          <w:color w:val="auto"/>
        </w:rPr>
      </w:pPr>
    </w:p>
    <w:p>
      <w:pPr>
        <w:jc w:val="both"/>
        <w:ind w:right="120" w:firstLine="464"/>
        <w:spacing w:after="0" w:line="306"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If any Lender shall fail to make any payment required to be made by it pursuant to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w:t>
      </w:r>
      <w:r>
        <w:rPr>
          <w:rFonts w:ascii="Arial" w:cs="Arial" w:eastAsia="Arial" w:hAnsi="Arial"/>
          <w:sz w:val="16"/>
          <w:szCs w:val="16"/>
          <w:u w:val="single" w:color="auto"/>
          <w:color w:val="auto"/>
        </w:rPr>
        <w:t>2.06(d)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9.03(c)</w:t>
      </w:r>
      <w:r>
        <w:rPr>
          <w:rFonts w:ascii="Arial" w:cs="Arial" w:eastAsia="Arial" w:hAnsi="Arial"/>
          <w:sz w:val="16"/>
          <w:szCs w:val="16"/>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2.19. </w:t>
      </w:r>
      <w:r>
        <w:rPr>
          <w:rFonts w:ascii="Arial" w:cs="Arial" w:eastAsia="Arial" w:hAnsi="Arial"/>
          <w:sz w:val="18"/>
          <w:szCs w:val="18"/>
          <w:u w:val="single" w:color="auto"/>
          <w:color w:val="auto"/>
        </w:rPr>
        <w:t>Mitigation Obligations; Replacement of the Lenders</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91"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any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a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Borrowers shall have received the prior written consent of the Administrative Agent (and if a Commitment is being assigned, the Issuing Bank),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fees shall cease to accrue on the unfunded portion of the Revolving Loan Commitment of such Defaulting Lender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right="340" w:firstLine="464"/>
        <w:spacing w:after="0" w:line="298"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Revolving Loan Commitment and Revolving Credit Exposure of such Defaulting Lender shall not be included in determining whether all the Lenders or the Required Lenders have taken or may take any action hereunder (including any consent to any amendment or waiver pursuant to Section 9.02), provided that any waiver, amendment or modification requiring the consent of all the Lenders or each affected Lender which affects such Defaulting Lender differently than other affected the Lenders shall require the consent of such Defaulting Lender;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83" w:name="page84"/>
    <w:bookmarkEnd w:id="83"/>
    <w:p>
      <w:pPr>
        <w:ind w:left="692" w:hanging="236"/>
        <w:spacing w:after="0"/>
        <w:tabs>
          <w:tab w:leader="none" w:pos="692"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Swingline Exposure or LC Exposure exists at the time a Lender becomes a Defaulting Lender then:</w:t>
      </w:r>
    </w:p>
    <w:p>
      <w:pPr>
        <w:spacing w:after="0" w:line="171" w:lineRule="exact"/>
        <w:rPr>
          <w:rFonts w:ascii="Arial" w:cs="Arial" w:eastAsia="Arial" w:hAnsi="Arial"/>
          <w:sz w:val="18"/>
          <w:szCs w:val="18"/>
          <w:color w:val="auto"/>
        </w:rPr>
      </w:pPr>
    </w:p>
    <w:p>
      <w:pPr>
        <w:ind w:left="-8" w:right="80" w:firstLine="921"/>
        <w:spacing w:after="0" w:line="256" w:lineRule="auto"/>
        <w:tabs>
          <w:tab w:leader="none" w:pos="1115"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all or any part of such Swingline Exposure and LC Exposure shall be reallocated among the non-Defaulting Lenders in accordance with their respective Applicable Percentages but only to the extent (x) the sum of all non-Defaulting Lenders’ Revolving Credit Exposures plus such Defaulting Lender’s Swingline Exposure and LC Exposure does not exceed the total of all non-Defaulting Lenders’ Commitments and (y)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such time; and</w:t>
      </w:r>
    </w:p>
    <w:p>
      <w:pPr>
        <w:spacing w:after="0" w:line="143" w:lineRule="exact"/>
        <w:rPr>
          <w:rFonts w:ascii="Arial" w:cs="Arial" w:eastAsia="Arial" w:hAnsi="Arial"/>
          <w:sz w:val="18"/>
          <w:szCs w:val="18"/>
          <w:color w:val="auto"/>
        </w:rPr>
      </w:pPr>
    </w:p>
    <w:p>
      <w:pPr>
        <w:ind w:left="-8" w:right="40" w:firstLine="921"/>
        <w:spacing w:after="0" w:line="306" w:lineRule="auto"/>
        <w:tabs>
          <w:tab w:leader="none" w:pos="1163"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(i) above cannot, or can only partially, be effected, the Borrowers shall within one Business Day following notice by the Administrative Agent (x) first, prepay such Swingline Exposure and (y) second, cash collateralize such Defaulting Lender’s LC Exposure (after giving effect to any partial reallocation pursuant to clause (i) above) in accordance with the procedures set forth in </w:t>
      </w:r>
      <w:r>
        <w:rPr>
          <w:rFonts w:ascii="Arial" w:cs="Arial" w:eastAsia="Arial" w:hAnsi="Arial"/>
          <w:sz w:val="16"/>
          <w:szCs w:val="16"/>
          <w:u w:val="single" w:color="auto"/>
          <w:color w:val="auto"/>
        </w:rPr>
        <w:t>Section 2.06(j)</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8" w:firstLine="921"/>
        <w:spacing w:after="0" w:line="259" w:lineRule="auto"/>
        <w:tabs>
          <w:tab w:leader="none" w:pos="1212"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if the Borrowers cash collateralize any portion of such Defaulting Lender’s LC Exposure pursuant to </w:t>
      </w:r>
      <w:r>
        <w:rPr>
          <w:rFonts w:ascii="Arial" w:cs="Arial" w:eastAsia="Arial" w:hAnsi="Arial"/>
          <w:sz w:val="18"/>
          <w:szCs w:val="18"/>
          <w:u w:val="single" w:color="auto"/>
          <w:color w:val="auto"/>
        </w:rPr>
        <w:t>Section 2.20(c)</w:t>
      </w:r>
      <w:r>
        <w:rPr>
          <w:rFonts w:ascii="Arial" w:cs="Arial" w:eastAsia="Arial" w:hAnsi="Arial"/>
          <w:sz w:val="18"/>
          <w:szCs w:val="18"/>
          <w:color w:val="auto"/>
        </w:rPr>
        <w:t xml:space="preserve">, the Borrowers shall not be required to pay any fees to such Defaulting Lender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140" w:lineRule="exact"/>
        <w:rPr>
          <w:rFonts w:ascii="Arial" w:cs="Arial" w:eastAsia="Arial" w:hAnsi="Arial"/>
          <w:sz w:val="18"/>
          <w:szCs w:val="18"/>
          <w:color w:val="auto"/>
        </w:rPr>
      </w:pPr>
    </w:p>
    <w:p>
      <w:pPr>
        <w:ind w:left="-8" w:right="260" w:firstLine="921"/>
        <w:spacing w:after="0" w:line="268" w:lineRule="auto"/>
        <w:tabs>
          <w:tab w:leader="none" w:pos="1202"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if the LC Exposure of the non-Defaulting Lenders is reallocated pursuant to Section 2.20(c), then the fees payable to the Lenders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be adjusted in accordance with such non-Defaulting Lenders’ Applicable Percentages; or</w:t>
      </w:r>
    </w:p>
    <w:p>
      <w:pPr>
        <w:spacing w:after="0" w:line="131" w:lineRule="exact"/>
        <w:rPr>
          <w:rFonts w:ascii="Arial" w:cs="Arial" w:eastAsia="Arial" w:hAnsi="Arial"/>
          <w:sz w:val="18"/>
          <w:szCs w:val="18"/>
          <w:color w:val="auto"/>
        </w:rPr>
      </w:pPr>
    </w:p>
    <w:p>
      <w:pPr>
        <w:ind w:left="-8" w:right="80" w:firstLine="921"/>
        <w:spacing w:after="0" w:line="298" w:lineRule="auto"/>
        <w:tabs>
          <w:tab w:leader="none" w:pos="1154" w:val="left"/>
        </w:tabs>
        <w:numPr>
          <w:ilvl w:val="2"/>
          <w:numId w:val="69"/>
        </w:numPr>
        <w:rPr>
          <w:rFonts w:ascii="Arial" w:cs="Arial" w:eastAsia="Arial" w:hAnsi="Arial"/>
          <w:sz w:val="16"/>
          <w:szCs w:val="16"/>
          <w:color w:val="auto"/>
        </w:rPr>
      </w:pPr>
      <w:r>
        <w:rPr>
          <w:rFonts w:ascii="Arial" w:cs="Arial" w:eastAsia="Arial" w:hAnsi="Arial"/>
          <w:sz w:val="16"/>
          <w:szCs w:val="16"/>
          <w:color w:val="auto"/>
        </w:rPr>
        <w:t xml:space="preserve">if any Defaulting Lender’s LC Exposure is neither cash collateralized nor reallocated pursuant to </w:t>
      </w:r>
      <w:r>
        <w:rPr>
          <w:rFonts w:ascii="Arial" w:cs="Arial" w:eastAsia="Arial" w:hAnsi="Arial"/>
          <w:sz w:val="16"/>
          <w:szCs w:val="16"/>
          <w:u w:val="single" w:color="auto"/>
          <w:color w:val="auto"/>
        </w:rPr>
        <w:t>Section 2.20(c)</w:t>
      </w:r>
      <w:r>
        <w:rPr>
          <w:rFonts w:ascii="Arial" w:cs="Arial" w:eastAsia="Arial" w:hAnsi="Arial"/>
          <w:sz w:val="16"/>
          <w:szCs w:val="16"/>
          <w:color w:val="auto"/>
        </w:rPr>
        <w:t xml:space="preserve">, then, without prejudice to any rights or remedies of the Issuing Bank or any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with respect to such Defaulting Lender’s LC Exposure shall be payable to the Issuing Bank until such LC Exposure is cash collateralized and/or reallocated; and</w:t>
      </w:r>
    </w:p>
    <w:p>
      <w:pPr>
        <w:spacing w:after="0" w:line="112" w:lineRule="exact"/>
        <w:rPr>
          <w:rFonts w:ascii="Arial" w:cs="Arial" w:eastAsia="Arial" w:hAnsi="Arial"/>
          <w:sz w:val="16"/>
          <w:szCs w:val="16"/>
          <w:color w:val="auto"/>
        </w:rPr>
      </w:pPr>
    </w:p>
    <w:p>
      <w:pPr>
        <w:ind w:left="-8" w:right="40" w:firstLine="464"/>
        <w:spacing w:after="0" w:line="302" w:lineRule="auto"/>
        <w:tabs>
          <w:tab w:leader="none" w:pos="697" w:val="left"/>
        </w:tabs>
        <w:numPr>
          <w:ilvl w:val="1"/>
          <w:numId w:val="69"/>
        </w:numPr>
        <w:rPr>
          <w:rFonts w:ascii="Arial" w:cs="Arial" w:eastAsia="Arial" w:hAnsi="Arial"/>
          <w:sz w:val="15"/>
          <w:szCs w:val="15"/>
          <w:color w:val="auto"/>
        </w:rPr>
      </w:pPr>
      <w:r>
        <w:rPr>
          <w:rFonts w:ascii="Arial" w:cs="Arial" w:eastAsia="Arial" w:hAnsi="Arial"/>
          <w:sz w:val="15"/>
          <w:szCs w:val="15"/>
          <w:color w:val="auto"/>
        </w:rPr>
        <w:t xml:space="preserve">so long as any Lender is a Defaulting Lender, the Swingline Lender shall not be required to fund any Swingline Loan and the Issuing Bank shall not be required to issue, amend or increase any Letter of Credit, unless it is satisfied that the related exposure will be 100% covered by the Commitments of the non-Defaulting Lenders and/or cash collateral will be provided by the Borrowers in accordance with </w:t>
      </w:r>
      <w:r>
        <w:rPr>
          <w:rFonts w:ascii="Arial" w:cs="Arial" w:eastAsia="Arial" w:hAnsi="Arial"/>
          <w:sz w:val="15"/>
          <w:szCs w:val="15"/>
          <w:u w:val="single" w:color="auto"/>
          <w:color w:val="auto"/>
        </w:rPr>
        <w:t>Section 2.20(c)</w:t>
      </w:r>
      <w:r>
        <w:rPr>
          <w:rFonts w:ascii="Arial" w:cs="Arial" w:eastAsia="Arial" w:hAnsi="Arial"/>
          <w:sz w:val="15"/>
          <w:szCs w:val="15"/>
          <w:color w:val="auto"/>
        </w:rPr>
        <w:t xml:space="preserve">, and participating interests in any such newly issued or increased Letter of Credit or newly made Swingline Loan shall be allocated among non-Defaulting Lenders in a manner consistent with </w:t>
      </w:r>
      <w:r>
        <w:rPr>
          <w:rFonts w:ascii="Arial" w:cs="Arial" w:eastAsia="Arial" w:hAnsi="Arial"/>
          <w:sz w:val="15"/>
          <w:szCs w:val="15"/>
          <w:u w:val="single" w:color="auto"/>
          <w:color w:val="auto"/>
        </w:rPr>
        <w:t>Section 2.20(c)</w:t>
      </w:r>
    </w:p>
    <w:p>
      <w:pPr>
        <w:spacing w:after="0" w:line="2" w:lineRule="exact"/>
        <w:rPr>
          <w:rFonts w:ascii="Arial" w:cs="Arial" w:eastAsia="Arial" w:hAnsi="Arial"/>
          <w:sz w:val="15"/>
          <w:szCs w:val="15"/>
          <w:color w:val="auto"/>
        </w:rPr>
      </w:pPr>
    </w:p>
    <w:p>
      <w:pPr>
        <w:ind w:left="212" w:hanging="212"/>
        <w:spacing w:after="0"/>
        <w:tabs>
          <w:tab w:leader="none" w:pos="212" w:val="left"/>
        </w:tabs>
        <w:numPr>
          <w:ilvl w:val="0"/>
          <w:numId w:val="70"/>
        </w:numPr>
        <w:rPr>
          <w:rFonts w:ascii="Arial" w:cs="Arial" w:eastAsia="Arial" w:hAnsi="Arial"/>
          <w:sz w:val="18"/>
          <w:szCs w:val="18"/>
          <w:u w:val="single" w:color="auto"/>
          <w:color w:val="auto"/>
        </w:rPr>
      </w:pPr>
      <w:r>
        <w:rPr>
          <w:rFonts w:ascii="Arial" w:cs="Arial" w:eastAsia="Arial" w:hAnsi="Arial"/>
          <w:sz w:val="18"/>
          <w:szCs w:val="18"/>
          <w:color w:val="auto"/>
        </w:rPr>
        <w:t>(and Defaulting Lenders shall not participate therein).</w:t>
      </w:r>
    </w:p>
    <w:p>
      <w:pPr>
        <w:spacing w:after="0" w:line="164" w:lineRule="exact"/>
        <w:rPr>
          <w:rFonts w:ascii="Arial" w:cs="Arial" w:eastAsia="Arial" w:hAnsi="Arial"/>
          <w:sz w:val="18"/>
          <w:szCs w:val="18"/>
          <w:u w:val="single" w:color="auto"/>
          <w:color w:val="auto"/>
        </w:rPr>
      </w:pPr>
    </w:p>
    <w:p>
      <w:pPr>
        <w:ind w:left="-8" w:right="200" w:firstLine="464"/>
        <w:spacing w:after="0" w:line="255" w:lineRule="auto"/>
        <w:tabs>
          <w:tab w:leader="none" w:pos="68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event that the Administrative Agent, the Company, the Issuing Bank and the Swingline Lender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the Lenders (other than Swingline Loans) as the Administrative shall determine may be necessary in order for such Lender to hold such Loans in accordance with its Applicable Percentage.</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52"/>
          </w:cols>
          <w:pgMar w:left="248" w:top="280" w:right="29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2.21. </w:t>
      </w:r>
      <w:r>
        <w:rPr>
          <w:rFonts w:ascii="Arial" w:cs="Arial" w:eastAsia="Arial" w:hAnsi="Arial"/>
          <w:sz w:val="18"/>
          <w:szCs w:val="18"/>
          <w:u w:val="single" w:color="auto"/>
          <w:color w:val="auto"/>
        </w:rPr>
        <w:t>Liability of the Borrowers; Borrower Representative</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4"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Borrowers are accepting and do hereby accept joint and several liability hereunder in regard to all Canadian Dollar Loans and all Obligations related thereto, in consideration of the financial accommodation to be provided by the Lenders under this Agreement, for the mutual benefit, directly and indirectly, of the Borrowers and in consideration of the undertakings of each of the Borrowers to accept joint and several liability as set forth herein. Except as otherwise expressly provided herein, each Borrower hereby waives notice of acceptance of its joint and several liability and any and all demands, notices and other formalities of every kind in connection with this Agreement. Each Borrower hereby assents to, and waives notice of, any extension or postponement of the time for the payment of any of the Obligations, the acceptance of any partial payment thereon, any waiver, consent or other action or acquiescence by the Lenders at any time or times in respect of any default by any Borrower in the performance or satisfaction of any term, covenant, condition or provision of this Agreement, any and all other indulgences whatsoever by the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any failure to act on the part of the Administrative Agent or the Lenders, including, without limitation, any failure strictly or diligently to assert any right or to pursue any remedy or to comply fully with applicable laws or regulations thereunder which might, but for the provisions of this Section, afford grounds for terminating, discharging or relieving such Borrower, in whole or in part, from any of its obligations under this Section, it being the intention of each Borrower that, so long as any of the Obligations hereunder remain unsatisfied, the obligations of such Borrower under this Section shall not be discharged except by performance and then only to the extent of such performance. The obligations of each Borrower under this Section shall not be diminished or rendered unenforceable by any winding up, reorganization, arrangement, liquidation, reconstruction or similar proceeding with respect to any reconstruction or similar proceeding with respect to any Borrower or the Lenders. The provisions of this Section shall remain in effect until all the Obligations shall have been paid in full or otherwise fully satisfied and all Revolving Loan Commitments are terminated and of no further force and effect. If at any time, any payment, or any part thereof, made in respect of any of the Obligations, is rescinded or must otherwise be restored or returned by the Lenders upon the insolvency, bankruptcy or reorganization of any of the Borrowers, or otherwise, the provisions of this Section will forthwith be reinstated and in effect as though such payment had not been made. Notwithstanding any provision to the contrary contained herein or in any other of the Loan Documents, the obligations of each Borrower hereunder shall be limited to an aggregate amount equal to the largest amount that would not render its obligations hereunder subject to avoidance under Section 548 of the Bankruptcy Code of the United States or any comparable provisions of any applicable Federal, state, provincial, territorial or foreign bankruptcy, insolvency, receivership or similar law now or hereafter in effect.</w:t>
      </w:r>
    </w:p>
    <w:p>
      <w:pPr>
        <w:spacing w:after="0" w:line="124" w:lineRule="exact"/>
        <w:rPr>
          <w:rFonts w:ascii="Arial" w:cs="Arial" w:eastAsia="Arial" w:hAnsi="Arial"/>
          <w:sz w:val="16"/>
          <w:szCs w:val="16"/>
          <w:color w:val="auto"/>
        </w:rPr>
      </w:pPr>
    </w:p>
    <w:p>
      <w:pPr>
        <w:ind w:left="720" w:hanging="256"/>
        <w:spacing w:after="0"/>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Nothing herein is intended to or shall be construed to modify or restrict any Existing Guarantee to which any Canadian Borrower is a party.</w:t>
      </w:r>
    </w:p>
    <w:p>
      <w:pPr>
        <w:spacing w:after="0" w:line="194" w:lineRule="exact"/>
        <w:rPr>
          <w:rFonts w:ascii="Arial" w:cs="Arial" w:eastAsia="Arial" w:hAnsi="Arial"/>
          <w:sz w:val="16"/>
          <w:szCs w:val="16"/>
          <w:color w:val="auto"/>
        </w:rPr>
      </w:pPr>
    </w:p>
    <w:p>
      <w:pPr>
        <w:ind w:right="4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is hereby appointed by each of the Canadian Borrowers as its contractual representative hereunder and under each other Loan Document, and each of the Canadian Borrowers irrevocably authorizes the Company to act as the contractual representative of such Canadian Borrower in regard to this Agreement and the other Loan Documents.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Borrowers represent and warrant to the Administrative Agent and Lenders that: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Company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Borrower’s corporate powers and have been duly authorized by all necessary corporate and, if required, stockholder action. This Agreement has been duly executed and delivered by the Borrowers and constitutes a legal, valid and binding obligation of each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the filing of a Current Report on Form 8-K with the Securities and Exchange Commission and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 other than those Liens which are created or imposed hereunder or pursuant to the Collateral Documents.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 Absence of Default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6"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has heretofore furnished to the Lenders its consolidated balance sheet and statements of income, stockholders equity and cash flows (i) as of and for the fiscal year ended June 30, 2011, reported on by Deloitte &amp; Touche LLP, independent registered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43" w:lineRule="exact"/>
        <w:rPr>
          <w:rFonts w:ascii="Arial" w:cs="Arial" w:eastAsia="Arial" w:hAnsi="Arial"/>
          <w:sz w:val="18"/>
          <w:szCs w:val="18"/>
          <w:color w:val="auto"/>
        </w:rPr>
      </w:pPr>
    </w:p>
    <w:p>
      <w:pPr>
        <w:ind w:right="700" w:firstLine="464"/>
        <w:spacing w:after="0" w:line="332"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Since June 30, 2011, there has been no adverse change in the business, assets, operations, prospects or condition, financial or otherwise, of the Company and its Subsidiaries, taken as a whole, that could reasonably be expected to have a Material Adverse Effect.</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Each of the Company and the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and except as set forth on </w:t>
      </w:r>
      <w:r>
        <w:rPr>
          <w:rFonts w:ascii="Arial" w:cs="Arial" w:eastAsia="Arial" w:hAnsi="Arial"/>
          <w:sz w:val="18"/>
          <w:szCs w:val="18"/>
          <w:u w:val="single" w:color="auto"/>
          <w:color w:val="auto"/>
        </w:rPr>
        <w:t>Schedule 3.05</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340" w:firstLine="464"/>
        <w:spacing w:after="0" w:line="306"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the Company and the Guarantors owns, or is licensed to use, all trademarks, tradenames, copyrights, patents and other intellectual property material to its business, and the use thereof by the Company and Guarantors does not infringe upon the rights of any other Person, except for any such infringements that, individually or in the aggregate, could not reasonably be expected to result in a Material Adverse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171" w:lineRule="exact"/>
        <w:rPr>
          <w:sz w:val="20"/>
          <w:szCs w:val="20"/>
          <w:color w:val="auto"/>
        </w:rPr>
      </w:pPr>
    </w:p>
    <w:p>
      <w:pPr>
        <w:jc w:val="both"/>
        <w:ind w:right="100" w:firstLine="464"/>
        <w:spacing w:after="0" w:line="303" w:lineRule="auto"/>
        <w:tabs>
          <w:tab w:leader="none" w:pos="695"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Except as discussed in </w:t>
      </w:r>
      <w:r>
        <w:rPr>
          <w:rFonts w:ascii="Arial" w:cs="Arial" w:eastAsia="Arial" w:hAnsi="Arial"/>
          <w:sz w:val="15"/>
          <w:szCs w:val="15"/>
          <w:u w:val="single" w:color="auto"/>
          <w:color w:val="auto"/>
        </w:rPr>
        <w:t>Schedule 3.06</w:t>
      </w:r>
      <w:r>
        <w:rPr>
          <w:rFonts w:ascii="Arial" w:cs="Arial" w:eastAsia="Arial" w:hAnsi="Arial"/>
          <w:sz w:val="15"/>
          <w:szCs w:val="15"/>
          <w:color w:val="auto"/>
        </w:rPr>
        <w:t>, there are no actions, suits or proceedings by or before any 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involve this Agreement or the Transactions.</w:t>
      </w:r>
    </w:p>
    <w:p>
      <w:pPr>
        <w:spacing w:after="0" w:line="164" w:lineRule="exact"/>
        <w:rPr>
          <w:rFonts w:ascii="Arial" w:cs="Arial" w:eastAsia="Arial" w:hAnsi="Arial"/>
          <w:sz w:val="18"/>
          <w:szCs w:val="18"/>
          <w:color w:val="auto"/>
        </w:rPr>
      </w:pPr>
    </w:p>
    <w:p>
      <w:pPr>
        <w:ind w:firstLine="464"/>
        <w:spacing w:after="0" w:line="288" w:lineRule="auto"/>
        <w:tabs>
          <w:tab w:leader="none" w:pos="705"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the ordinary course of its business the officers of the Company consider the effect of Environmental Laws on the business of the Company and its Subsidiaries, in the course of which they identify and evaluate potential risks and liabilities to which the Company or its Subsidiaries may be subject due to Environmental Laws. On the basis of this consideration, except with respect to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Neither the Company nor any Subsidiary has received any notice to the effect that its operations are not in material compliance with any of the requirements of applicable Environmental Laws or are the subject of any federal, state, provincial or territorial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33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its Subsidiaries is an “investment company” as defined in, or subject to regulation under, the Investment Company Act of 1940.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87" w:name="page88"/>
    <w:bookmarkEnd w:id="87"/>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in accordance with Agreement Accounting Principles and as to which no Lien exists or (b) to the extent that the failure to do so could not reasonably be expected to result in a Material Adverse Effect. The charges, accruals and reserves on the books of the Company and its Subsidiaries in respect of any Taxes or other governmental charges are adequate. Each of the Company and its Subsidiaries has withheld all employee withholdings and has made all employer contributions to be withheld and made by it pursuant to applicable law on account of the Canada and Quebec pension plans, employment insurance and employee income taxes.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 Canadian Pension and Benefit Plans</w:t>
      </w:r>
      <w:r>
        <w:rPr>
          <w:rFonts w:ascii="Arial" w:cs="Arial" w:eastAsia="Arial" w:hAnsi="Arial"/>
          <w:sz w:val="18"/>
          <w:szCs w:val="18"/>
          <w:color w:val="auto"/>
        </w:rPr>
        <w:t>.</w:t>
      </w:r>
    </w:p>
    <w:p>
      <w:pPr>
        <w:spacing w:after="0" w:line="171" w:lineRule="exact"/>
        <w:rPr>
          <w:sz w:val="20"/>
          <w:szCs w:val="20"/>
          <w:color w:val="auto"/>
        </w:rPr>
      </w:pPr>
    </w:p>
    <w:p>
      <w:pPr>
        <w:jc w:val="both"/>
        <w:ind w:right="300" w:firstLine="464"/>
        <w:spacing w:after="0" w:line="256"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3.10(a)</w:t>
      </w:r>
      <w:r>
        <w:rPr>
          <w:rFonts w:ascii="Arial" w:cs="Arial" w:eastAsia="Arial" w:hAnsi="Arial"/>
          <w:sz w:val="18"/>
          <w:szCs w:val="18"/>
          <w:color w:val="auto"/>
        </w:rPr>
        <w:t>, (i) no ERISA Event has occurred or is reasonably expected to occur that, when taken together with all other such ERISA Events for which liability is reasonably expected to occur, could reasonably be expected to result in a Material Adverse Effect and (ii) neither the Company nor any other member of the Controlled Group has incurred, or is reasonably expected to incur, any withdrawal liability to Multiemployer Plans in excess of $500,000.00 in the aggregate.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any Canadian Pension Plan.</w:t>
      </w:r>
    </w:p>
    <w:p>
      <w:pPr>
        <w:spacing w:after="0" w:line="171" w:lineRule="exact"/>
        <w:rPr>
          <w:rFonts w:ascii="Arial" w:cs="Arial" w:eastAsia="Arial" w:hAnsi="Arial"/>
          <w:sz w:val="18"/>
          <w:szCs w:val="18"/>
          <w:color w:val="auto"/>
        </w:rPr>
      </w:pPr>
    </w:p>
    <w:p>
      <w:pPr>
        <w:ind w:firstLine="464"/>
        <w:spacing w:after="0" w:line="286"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where the failure to perform any obligation or make any withholding, collection or payment, as applicable, could not reasonably be expected, individually or in the aggregate, to result in a Material Adverse Effect: (i) all obligations of the Company and its Subsidiaries (including fiduciary, funding, investment, administration and reporting obligations) required to be performed by them in connection with the Canadian Benefit Plans and the funding agreements therefor have been performed (ii) all contributions or premiums required to be made or paid by the Company and its Subsidiaries to the Canadian Benefit Plans have been made or paid in a timely fashion in accordance with the terms of such plans and all applicable laws, and (iii) all employee contributions to the Canadian Benefit Plans by way of authorized payroll deduction or otherwise have been properly withheld or collected by the Company and its Subsidiaries and have been fully paid into those plans in compliance with the plans and applicable laws. There have been no improper withdrawals or applications of the assets of the Canadian Benefit Plans, except where any such withdrawals or applications could not reasonably be expected, individually or in the aggregate, to result in a Material Adverse Effect. There is no proceeding, action, suit or claim (other than routine claims for benefits) pending or threatened involving the Canadian Benefit Plans, and no facts exist which could reasonably be expected to give rise to that type of proceeding, action, suit or claim, except where the outcome thereof could not reasonably be expected, individually or in the aggregate, to result in a Material Adverse Effect. No promises of benefit improvements under the Canadian Benefit Plans the Company or any of its Subsidiaries have been made except where improvement could not have a Material Adverse Effect.</w:t>
      </w:r>
    </w:p>
    <w:p>
      <w:pPr>
        <w:spacing w:after="0" w:line="12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Plan Assets; Prohibited Transactions; ERISA</w:t>
      </w:r>
      <w:r>
        <w:rPr>
          <w:rFonts w:ascii="Arial" w:cs="Arial" w:eastAsia="Arial" w:hAnsi="Arial"/>
          <w:sz w:val="18"/>
          <w:szCs w:val="18"/>
          <w:color w:val="auto"/>
        </w:rPr>
        <w:t>. Except as to salary deferrals before they are put into trust, no Borrower is an entity deemed to hold “plan assets” within the meaning of 29 C.F.R. § 2510.3-101 of an employee benefit plan (as defined in Section 3(3) of ERISA) which is subject to Title I of ERISA or any plan (within the meaning of Section 4975 of the Code). Neither the execution of this Agreement nor the extending of Loans or issuance of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88" w:name="page89"/>
    <w:bookmarkEnd w:id="8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LCs hereunder gives rise to a prohibited transaction within the meaning of Section 406 of ERISA or Section 4975 of the Code or results in or causes an ERISA Event.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and other information furnished by or on behalf of the Company to the Administrative Agent or any Lender in connection with the negotiation of this Agreement or delivered hereunder (as modified or supplemented by other information so furnished), when taken as a whole, do not contain any material misstatement of fact or omit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Company represents only that such information was prepared in good faith based upon assumptions believed to be reasonable at the time.</w:t>
      </w:r>
    </w:p>
    <w:p>
      <w:pPr>
        <w:spacing w:after="0" w:line="118"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 xml:space="preserve">SECTION 3.13. </w:t>
      </w: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3.13</w:t>
      </w:r>
      <w:r>
        <w:rPr>
          <w:rFonts w:ascii="Arial" w:cs="Arial" w:eastAsia="Arial" w:hAnsi="Arial"/>
          <w:sz w:val="15"/>
          <w:szCs w:val="15"/>
          <w:color w:val="auto"/>
        </w:rPr>
        <w:t xml:space="preserve"> contains an accurate list of and other information regarding all Subsidiaries of the Company as of the date of this Agreement, setting forth their respective jurisdictions of organization and the percentage of their respective capital stock or other ownership interests owned by the Company or other Subsidiaries. Deliberately omitted from Schedule 3.13 are Matrix Service, Inc., Panama (formed in Panama) and San Luis Tank S.A. de C.V. (formed in Mexico), both of which the Company has represented and does hereby represent to Agent and the Lenders are now dormant and neither of which</w:t>
      </w:r>
    </w:p>
    <w:p>
      <w:pPr>
        <w:spacing w:after="0" w:line="3" w:lineRule="exact"/>
        <w:rPr>
          <w:sz w:val="20"/>
          <w:szCs w:val="20"/>
          <w:color w:val="auto"/>
        </w:rPr>
      </w:pPr>
    </w:p>
    <w:p>
      <w:pPr>
        <w:jc w:val="both"/>
        <w:ind w:right="120" w:firstLine="8"/>
        <w:spacing w:after="0" w:line="255"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has any plan or intention to revive or utilize in any way or (ii) has any assets or operations whatsoever. All of the issued and outstanding shares of capital stock or other ownership interests of all Subsidiaries have been (to the extent such concepts are relevant with respect to such ownership interests) duly authorized and issued and are fully paid and non-assessable.</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Neither the Company nor any Subsidiary is subject to any charter or other corporate restriction which could reasonably be expected to have a Material Adverse Effect. Neither the Company nor any Subsidiary is in default in the performance, observance or fulfillment of any of the obligations, covenants or conditions contained in (i) any agreement to which it is a party, which default could reasonably be expected to have a Material Adverse Effect or (ii) any agreement or instrument evidencing or governing Indebtedness, including but not limited to any of the Loan Documents.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Post-Retirement Benefits</w:t>
      </w:r>
      <w:r>
        <w:rPr>
          <w:rFonts w:ascii="Arial" w:cs="Arial" w:eastAsia="Arial" w:hAnsi="Arial"/>
          <w:sz w:val="18"/>
          <w:szCs w:val="18"/>
          <w:color w:val="auto"/>
        </w:rPr>
        <w:t>. The present value of the expected cost of post-retirement medical (excluding the cost of continuation coverage as required by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6"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date hereof and immediately following the making of each Loan, if any, made on the date hereof and after giving effect to the application of the proceeds of such Loans, (i) the fair value of the assets of the Company and its Subsidiaries on a consolidated basis, at a fair valuation, will exceed the debts and liabilities, subordinated, contingent or otherwise, of the Company and its Subsidiaries on a consolidated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89" w:name="page90"/>
    <w:bookmarkEnd w:id="89"/>
    <w:p>
      <w:pPr>
        <w:ind w:firstLine="8"/>
        <w:spacing w:after="0" w:line="291" w:lineRule="auto"/>
        <w:tabs>
          <w:tab w:leader="none" w:pos="258"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present fair saleable value of the property of the Company and its Subsidiaries on a consolidated basis will be greater than the amount that will be required to pay the probable liability of the Company and its Subsidiaries on a consolidated basis on their debts and other liabilities, subordinated, contingent or otherwise, as such debts and other liabilities become absolute and matured; (iii) the Company and its Subsidiaries on a consolidated basis will be able to pay their debts and liabilities, subordinated, contingent or otherwise, as such debts and liabilities become absolute and matured; and (iv) the Company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120" w:lineRule="exact"/>
        <w:rPr>
          <w:rFonts w:ascii="Arial" w:cs="Arial" w:eastAsia="Arial" w:hAnsi="Arial"/>
          <w:sz w:val="16"/>
          <w:szCs w:val="16"/>
          <w:color w:val="auto"/>
        </w:rPr>
      </w:pPr>
    </w:p>
    <w:p>
      <w:pPr>
        <w:ind w:right="20" w:firstLine="464"/>
        <w:spacing w:after="0" w:line="306"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Payment and Performance Bonds</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is a list and brief description of all payment and performance bonds to which the Company or any of the Subsidiaries is a party as of the Closing Date. No such bonds (or any application or related documents) currently evidence any collateral or security of any kind or nature in favor of the surety thereunder other than Facility LCs that have been issued in connection with certain of those bonds.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As of the Closing Date, neither the Company nor any of the Subsidiaries owns or has any interest in any “commercial tort claim” (as that term is defined in 12A Okla. Stat. §1-9-102(a)(13) as of the Closing Date) that has not been specifically described in a Security Agreement as part of the collateral thereunder.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6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obligations of the Lenders to make Loans and of the Issuing Bank to issue Facility LCs hereunder shall not become effective until the date on which each of the following conditions is satisfied to the satisfaction of each Lender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85" w:lineRule="exact"/>
        <w:rPr>
          <w:sz w:val="20"/>
          <w:szCs w:val="20"/>
          <w:color w:val="auto"/>
        </w:rPr>
      </w:pPr>
    </w:p>
    <w:p>
      <w:pPr>
        <w:ind w:right="60"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or other electronic transmission of a signed signature page of this Agreement) that such party has signed a counterpart of this Agreement.</w:t>
      </w:r>
    </w:p>
    <w:p>
      <w:pPr>
        <w:spacing w:after="0" w:line="140"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Agent shall have received copies of the articles or certificate of incorporation or organization of each Credit Party, together with all amendments, certified by the appropriate governmental officer in its jurisdiction of incorporation as of a date acceptable to the Lenders, and any other information required by Section 326 of the USA Patriot Act or necessary for the Administrative Agent or any Lender to verify the identity of the Credit Parties as required by Section 326 of the USA Patriot 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90" w:name="page91"/>
    <w:bookmarkEnd w:id="90"/>
    <w:p>
      <w:pPr>
        <w:ind w:right="260" w:firstLine="464"/>
        <w:spacing w:after="0" w:line="268"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a certificate of good standing for each of the Company and each Guarantor, certified by the applicable government officer in its jurisdiction of incorporation or organization as of a date acceptable to the Lenders.</w:t>
      </w:r>
    </w:p>
    <w:p>
      <w:pPr>
        <w:spacing w:after="0" w:line="131" w:lineRule="exact"/>
        <w:rPr>
          <w:rFonts w:ascii="Arial" w:cs="Arial" w:eastAsia="Arial" w:hAnsi="Arial"/>
          <w:sz w:val="18"/>
          <w:szCs w:val="18"/>
          <w:color w:val="auto"/>
        </w:rPr>
      </w:pPr>
    </w:p>
    <w:p>
      <w:pPr>
        <w:ind w:firstLine="464"/>
        <w:spacing w:after="0" w:line="291"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the Secretary or Assistant Secretary of each Credit Party, (i) of its by-laws, operating agreement or other internal governance documents, together with all amendments thereto, (ii) of the resolutions or actions of its Board of Directors or other governing body authorizing the execution of the Loan Documents to which such Credit Party is a party and (iii) of incumbency which identifies by name and title and bears the signatures of the Authorized Officers of each Credit Party authorized to sign the Loan Documents to which it is a party and, in the case of the Company, the Authorized Officers of the Company authorized to submit Borrowing Requests, upon which certificate the Administrative Agent shall be entitled to rely until informed of any change in writing by an Authorized Officer.</w:t>
      </w:r>
    </w:p>
    <w:p>
      <w:pPr>
        <w:spacing w:after="0" w:line="120" w:lineRule="exact"/>
        <w:rPr>
          <w:rFonts w:ascii="Arial" w:cs="Arial" w:eastAsia="Arial" w:hAnsi="Arial"/>
          <w:sz w:val="16"/>
          <w:szCs w:val="16"/>
          <w:color w:val="auto"/>
        </w:rPr>
      </w:pPr>
    </w:p>
    <w:p>
      <w:pPr>
        <w:ind w:right="20" w:firstLine="464"/>
        <w:spacing w:after="0" w:line="256"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signed by a vice president of the Company, stating that, as of the Closing Date (i) no Default or Event of Default has occurred and is continuing, (ii)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are true and correct in all material respects, and (iii) there has been no material adverse change in the business, assets, operations, or condition of the Company and its Subsidiaries, taken as a whole, since June 30, 2011.</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Administrative Agent shall have received a Borrowing Request with respect to any Revolving Loans to be made on the Closing Date.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payable to the order of the appropriate the Lenders.</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have received all Collateral Documents (or amendments, supplements or ratifications thereof) that may be required by the Administrative Agent and any other documents, agreements, instruments or certificates as the Administrative Agent may require in order to evidence the grant to the Administrative Agent of a Lien against any property of the Company or any of the Subsidiaries desired by the Administrative Agent or to perfect any such Lien, all of which shall be Collateral Documents hereunder.</w:t>
      </w:r>
    </w:p>
    <w:p>
      <w:pPr>
        <w:spacing w:after="0" w:line="143" w:lineRule="exact"/>
        <w:rPr>
          <w:rFonts w:ascii="Arial" w:cs="Arial" w:eastAsia="Arial" w:hAnsi="Arial"/>
          <w:sz w:val="18"/>
          <w:szCs w:val="18"/>
          <w:color w:val="auto"/>
        </w:rPr>
      </w:pPr>
    </w:p>
    <w:p>
      <w:pPr>
        <w:ind w:right="760" w:firstLine="464"/>
        <w:spacing w:after="0" w:line="268"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have received ratification agreements in form acceptable to the Administrative Agent by the Company and all Guarantors of all Guarantees and Collateral Documents currently in existence.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Administrative Agent shall have received a completed and appropriately executed Perfection Certificate in form acceptable to the Administrative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64" w:lineRule="exact"/>
        <w:rPr>
          <w:rFonts w:ascii="Arial" w:cs="Arial" w:eastAsia="Arial" w:hAnsi="Arial"/>
          <w:sz w:val="16"/>
          <w:szCs w:val="16"/>
          <w:color w:val="auto"/>
        </w:rPr>
      </w:pPr>
    </w:p>
    <w:p>
      <w:pPr>
        <w:jc w:val="both"/>
        <w:ind w:right="380"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favorable written opinion (addressed to the Administrative Agent and the Lenders and dated the Closing Date) of Conner &amp; Winters, LLP, counsel for the Borrowers,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and covering such other matters relating to the Borrowers, this Agreement or the Transactions as the Required Lenders shall reasonably request. The Borrowers hereby request such counsel to deliver such opinion.</w:t>
      </w:r>
    </w:p>
    <w:p>
      <w:pPr>
        <w:spacing w:after="0" w:line="143" w:lineRule="exact"/>
        <w:rPr>
          <w:rFonts w:ascii="Arial" w:cs="Arial" w:eastAsia="Arial" w:hAnsi="Arial"/>
          <w:sz w:val="18"/>
          <w:szCs w:val="18"/>
          <w:color w:val="auto"/>
        </w:rPr>
      </w:pPr>
    </w:p>
    <w:p>
      <w:pPr>
        <w:ind w:right="520" w:firstLine="464"/>
        <w:spacing w:after="0" w:line="268"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91" w:name="page92"/>
    <w:bookmarkEnd w:id="9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good standing of any of the Credit Parties, the authorization of the Transactions and any other legal matters relating to the Borrowers, the Credit Parties, this Agreement or the Transactions, all in form and substance satisfactory to the Administrative Agent and its counsel.</w:t>
      </w:r>
    </w:p>
    <w:p>
      <w:pPr>
        <w:spacing w:after="0" w:line="132" w:lineRule="exact"/>
        <w:rPr>
          <w:sz w:val="20"/>
          <w:szCs w:val="20"/>
          <w:color w:val="auto"/>
        </w:rPr>
      </w:pPr>
    </w:p>
    <w:p>
      <w:pPr>
        <w:ind w:left="760" w:hanging="296"/>
        <w:spacing w:after="0"/>
        <w:tabs>
          <w:tab w:leader="none" w:pos="7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Closing Date, including but not limited to</w:t>
      </w:r>
    </w:p>
    <w:p>
      <w:pPr>
        <w:spacing w:after="0" w:line="38" w:lineRule="exact"/>
        <w:rPr>
          <w:rFonts w:ascii="Arial" w:cs="Arial" w:eastAsia="Arial" w:hAnsi="Arial"/>
          <w:sz w:val="16"/>
          <w:szCs w:val="16"/>
          <w:color w:val="auto"/>
        </w:rPr>
      </w:pPr>
    </w:p>
    <w:p>
      <w:pPr>
        <w:ind w:right="220" w:firstLine="8"/>
        <w:spacing w:after="0" w:line="302" w:lineRule="auto"/>
        <w:tabs>
          <w:tab w:leader="none" w:pos="21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extent invoiced, reimbursement or payment of all out-of-pocket expenses required to be reimbursed or paid by the Borrowers hereunder, (ii) all fees previously agreed to be paid to the Administrative Agent, to any of the Lenders and to J.P. Morgan Securities LLC as Sole Bookrunner and Sole Lead Arranger prior to or on the Closing Date and (iii) all fees due and payable to the lenders under the Restated Credit Agreements.</w:t>
      </w:r>
    </w:p>
    <w:p>
      <w:pPr>
        <w:spacing w:after="0" w:line="109" w:lineRule="exact"/>
        <w:rPr>
          <w:rFonts w:ascii="Arial" w:cs="Arial" w:eastAsia="Arial" w:hAnsi="Arial"/>
          <w:sz w:val="16"/>
          <w:szCs w:val="16"/>
          <w:color w:val="auto"/>
        </w:rPr>
      </w:pPr>
    </w:p>
    <w:p>
      <w:pPr>
        <w:ind w:left="720" w:hanging="256"/>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documents and instruments as it or its counsel may have requested.</w:t>
      </w:r>
    </w:p>
    <w:p>
      <w:pPr>
        <w:spacing w:after="0" w:line="171" w:lineRule="exact"/>
        <w:rPr>
          <w:rFonts w:ascii="Arial" w:cs="Arial" w:eastAsia="Arial" w:hAnsi="Arial"/>
          <w:sz w:val="18"/>
          <w:szCs w:val="18"/>
          <w:color w:val="auto"/>
        </w:rPr>
      </w:pPr>
    </w:p>
    <w:p>
      <w:pPr>
        <w:ind w:right="2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of all accrued and unpaid interest on the loans outstanding under the Credit Agreement up to the Closing Date.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consents, authorizations and approvals of, and filings and registrations with, and all other actions in respect of, any Governmental Authority or other Person required in connection with the making of the Loans or the conduct of the Borrowers’ business shall have been obtained and shall be in full force and effect.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Administrative Agent shall have received a copy of the financial statements of the Company for the most recently ended fiscal year.</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Administrative Agent shall notify the Company and the Lenders of the Closing Date. Notwithstanding the foregoing, the obligations of the Lenders to make Revolving Loans and of the Issuing Bank to issue Facility LCs hereunder shall not become effective unless each of the foregoing conditions is satisfied at or before 3:00 p.m., Oklahoma time, on November 11, 2011 (and, in the event such conditions are not so satisfied or waived, the Revolving Loan Commitments shall terminate at such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 Revolving Loan on the occasion of any Revolving Borrowing, and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Issuing Bank to issue, amend, renew or extend any Facility LC, is subject to the satisfaction of the following conditions:</w:t>
      </w:r>
    </w:p>
    <w:p>
      <w:pPr>
        <w:spacing w:after="0" w:line="165" w:lineRule="exact"/>
        <w:rPr>
          <w:sz w:val="20"/>
          <w:szCs w:val="20"/>
          <w:color w:val="auto"/>
        </w:rPr>
      </w:pPr>
    </w:p>
    <w:p>
      <w:pPr>
        <w:ind w:right="60" w:firstLine="464"/>
        <w:spacing w:after="0" w:line="259"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shall be true and correct in all material respects on and as of the date of such Revolving Borrowing or the date of issuance, amendment, renewal or extension of such Facility LC, as applicable, except to the extent limited to a specific prior date or incorrect as a result of transactions permitted under the Loan Documents.</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Revolving Borrowing or the issuance, amendment, renewal or extension of such Facility LC, as applicable, no Default shall have occurred and be continuing.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92" w:name="page93"/>
    <w:bookmarkEnd w:id="92"/>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Revolving Borrowing and each issuance, amendment, renewal or extension of a Facility LC shall be deemed to constitute a representation and warranty by the Borrowers on the date thereof as to the matters specified in paragraphs (a) and (b) of this Section.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Until the Revolving Loan Commitments have expired or been terminated and the principal of and interest on each Loan and all fees payable hereunder shall have been paid in full and all Facility LCs shall have expired or terminated and all LC Disbursements shall have been reimbursed, each Borrower covenants and agrees with the Lenders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The Company will furnish to the Administrative Agent and each Lender:</w:t>
      </w:r>
    </w:p>
    <w:p>
      <w:pPr>
        <w:spacing w:after="0" w:line="171" w:lineRule="exact"/>
        <w:rPr>
          <w:sz w:val="20"/>
          <w:szCs w:val="20"/>
          <w:color w:val="auto"/>
        </w:rPr>
      </w:pPr>
    </w:p>
    <w:p>
      <w:pPr>
        <w:ind w:firstLine="464"/>
        <w:spacing w:after="0" w:line="301" w:lineRule="auto"/>
        <w:tabs>
          <w:tab w:leader="none" w:pos="695" w:val="left"/>
        </w:tabs>
        <w:numPr>
          <w:ilvl w:val="1"/>
          <w:numId w:val="85"/>
        </w:numPr>
        <w:rPr>
          <w:rFonts w:ascii="Arial" w:cs="Arial" w:eastAsia="Arial" w:hAnsi="Arial"/>
          <w:sz w:val="15"/>
          <w:szCs w:val="15"/>
          <w:color w:val="auto"/>
        </w:rPr>
      </w:pPr>
      <w:r>
        <w:rPr>
          <w:rFonts w:ascii="Arial" w:cs="Arial" w:eastAsia="Arial" w:hAnsi="Arial"/>
          <w:sz w:val="15"/>
          <w:szCs w:val="15"/>
          <w:color w:val="auto"/>
        </w:rPr>
        <w:t>Within ninety (90) days after the close of each of its fiscal years, (i) copies of the audited consolidated balance sheets of the Company and its Subsidiaries as at the end of such fiscal year, together with the related audited consolidated statements of income or operations, shareholders’ equity and cash flows for such fiscal year, and the notes thereto, all in reasonable detail, setting forth in each case in comparative form the audited consolidated figures as of the end of and for the previous fiscal year, in reasonable detail and prepared in accordance with Agreement Accounting Principles, and accompanied by a report and opinion of an independent certified public accountant reasonably acceptable to the Lenders which report and opinion shall be prepared in accordance with generally accepted auditing standards and shall be unqualified (except for qualifications relating to changes in accounting principles or practices reflecting changes in generally accepted accounting principles and required or approved by the Company’s independent certified public accountants) and not subject to any “going concern” or like qualification or exception and shall state that such consolidated financial statements present fairly, in all material respects, the consolidated financial position of the Company and Subsidiaries as at the end of such fiscal year and their consolidated results of operations and cash flows for such fiscal year in conformity with Agreement Accounting Principles (or words substantially similar to the foregoing) and that the examination by such accountants in connection with such consolidated financial statements has been made in accordance with generally accepted auditing standards, (ii) a certificate of its independent registered certified public accountants rendering the report thereon stating whether, in connection with their audit examination, anything has come to their attention which would cause them to believe that any Default or Event of Default with respect to accounting matters existed on the date of such financial statements, and if such a condition or event has come to their attention, specifying in reasonable detail the nature and period, if known, of existence thereof, and</w:t>
      </w:r>
    </w:p>
    <w:p>
      <w:pPr>
        <w:spacing w:after="0" w:line="2" w:lineRule="exact"/>
        <w:rPr>
          <w:rFonts w:ascii="Arial" w:cs="Arial" w:eastAsia="Arial" w:hAnsi="Arial"/>
          <w:sz w:val="15"/>
          <w:szCs w:val="15"/>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management letter prepared by such accountants.</w:t>
      </w:r>
    </w:p>
    <w:p>
      <w:pPr>
        <w:spacing w:after="0" w:line="164" w:lineRule="exact"/>
        <w:rPr>
          <w:rFonts w:ascii="Arial" w:cs="Arial" w:eastAsia="Arial" w:hAnsi="Arial"/>
          <w:sz w:val="18"/>
          <w:szCs w:val="18"/>
          <w:color w:val="auto"/>
        </w:rPr>
      </w:pPr>
    </w:p>
    <w:p>
      <w:pPr>
        <w:ind w:right="80" w:firstLine="464"/>
        <w:spacing w:after="0" w:line="294" w:lineRule="auto"/>
        <w:tabs>
          <w:tab w:leader="none" w:pos="705"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Within forty-five (45) days after the end of the first three fiscal quarters of the Company’s fiscal year, a consolidated balance sheet of the Company and Subsidiaries as at the end of such fiscal quarter, and the related consolidated statements of income or operations, shareholders’ equity and cash flows for such fiscal quarter and for the portion of the Company’s fiscal year then ended, and setting forth in comparative form the consolidated figures for the corresponding fiscal quarter of the previous fiscal year and the corresponding portion of the previous fiscal year, all in reasonable detail and certified by a Financial Officer of the Company as fairly presenting the financial condition, results of operations, shareholders’ equity and cash flows of the Company and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in accordance with Agreement Accounting Principles, subject only to normal year-end audit adjustments and the absence of footnotes.</w:t>
      </w:r>
    </w:p>
    <w:p>
      <w:pPr>
        <w:spacing w:after="0" w:line="194" w:lineRule="exact"/>
        <w:rPr>
          <w:sz w:val="20"/>
          <w:szCs w:val="20"/>
          <w:color w:val="auto"/>
        </w:rPr>
      </w:pPr>
    </w:p>
    <w:p>
      <w:pPr>
        <w:ind w:firstLine="464"/>
        <w:spacing w:after="0" w:line="298"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Together with the financial statements required under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 Compliance Certificate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signed by its chief financial officer showing the calculations necessary to determine compliance with this Agreement (including without limitation all the calculations specified in </w:t>
      </w:r>
      <w:r>
        <w:rPr>
          <w:rFonts w:ascii="Arial" w:cs="Arial" w:eastAsia="Arial" w:hAnsi="Arial"/>
          <w:sz w:val="16"/>
          <w:szCs w:val="16"/>
          <w:u w:val="single" w:color="auto"/>
          <w:color w:val="auto"/>
        </w:rPr>
        <w:t>Exhibit C</w:t>
      </w:r>
      <w:r>
        <w:rPr>
          <w:rFonts w:ascii="Arial" w:cs="Arial" w:eastAsia="Arial" w:hAnsi="Arial"/>
          <w:sz w:val="16"/>
          <w:szCs w:val="16"/>
          <w:color w:val="auto"/>
        </w:rPr>
        <w:t>) and stating that no Default or Event of Default exists, or if any Default or Event of Default exists, stating the nature and status thereof and the action the Company has taken, is taking, or proposes to take in respect thereto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right="20" w:firstLine="464"/>
        <w:spacing w:after="0" w:line="256"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soon as possible and in any event within ten (10) days after receipt by the Company, a copy of (a) any notice or claim to the effect that the Company or any of its Subsidiaries is or may be liable to any Person as a result of the release by the Company, any of its Subsidiaries, or any other Person of any Hazardous Material into the environment, and (b) any notice alleging any violation of any Environmental Law by the Company or any of its Subsidiaries which, in either case, could reasonably be expected to have a Material Adverse Effect.</w:t>
      </w:r>
    </w:p>
    <w:p>
      <w:pPr>
        <w:spacing w:after="0" w:line="143"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upon the furnishing thereof to the shareholders of the Company, copies of all financial statements, reports and proxy statements so furnished, if not previously delivered to the Administrative Agent.</w:t>
      </w:r>
    </w:p>
    <w:p>
      <w:pPr>
        <w:spacing w:after="0" w:line="131" w:lineRule="exact"/>
        <w:rPr>
          <w:rFonts w:ascii="Arial" w:cs="Arial" w:eastAsia="Arial" w:hAnsi="Arial"/>
          <w:sz w:val="18"/>
          <w:szCs w:val="18"/>
          <w:color w:val="auto"/>
        </w:rPr>
      </w:pPr>
    </w:p>
    <w:p>
      <w:pPr>
        <w:ind w:firstLine="464"/>
        <w:spacing w:after="0" w:line="268" w:lineRule="auto"/>
        <w:tabs>
          <w:tab w:leader="none" w:pos="6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Promptly upon the filing thereof, copies of all annual, quarterly, monthly or other regular reports which the Company or any of its Subsidiaries files with the Securities and Exchange Commission, if not previously delivered to the Administrative Agent.</w:t>
      </w:r>
    </w:p>
    <w:p>
      <w:pPr>
        <w:spacing w:after="0" w:line="131" w:lineRule="exact"/>
        <w:rPr>
          <w:rFonts w:ascii="Arial" w:cs="Arial" w:eastAsia="Arial" w:hAnsi="Arial"/>
          <w:sz w:val="18"/>
          <w:szCs w:val="18"/>
          <w:color w:val="auto"/>
        </w:rPr>
      </w:pPr>
    </w:p>
    <w:p>
      <w:pPr>
        <w:ind w:right="100" w:firstLine="464"/>
        <w:spacing w:after="0" w:line="298"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following any request therefor, a bonding report as of a date no earlier than the last day of the fiscal quarter showing, as to all bonds to which the Company or any Subsidiary is a party, the following: (i) the identity of the principal, the identity of the obligee, a description of the applicable project, the type of bond, the amount of the bond, the premium paid for the bond, and the effective date and expiration date of the bond, and (ii) such other information regarding such bonds as reasonably requested by the Administrative Agent or any Lender.</w:t>
      </w:r>
    </w:p>
    <w:p>
      <w:pPr>
        <w:spacing w:after="0" w:line="112"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Within ninety (90) days after the end of the Company’s fiscal year, financial projections for the Company and each Subsidiary, and for the Company and the Subsidiaries on a consolidated basis, for the next fiscal year.</w:t>
      </w:r>
    </w:p>
    <w:p>
      <w:pPr>
        <w:spacing w:after="0" w:line="131" w:lineRule="exact"/>
        <w:rPr>
          <w:rFonts w:ascii="Arial" w:cs="Arial" w:eastAsia="Arial" w:hAnsi="Arial"/>
          <w:sz w:val="18"/>
          <w:szCs w:val="18"/>
          <w:color w:val="auto"/>
        </w:rPr>
      </w:pPr>
    </w:p>
    <w:p>
      <w:pPr>
        <w:ind w:right="120" w:firstLine="464"/>
        <w:spacing w:after="0" w:line="259" w:lineRule="auto"/>
        <w:tabs>
          <w:tab w:leader="none" w:pos="6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Together with the financial statements required under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abbreviated consolidating balance sheets and income statements in detail sufficient to determine compliance with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including without limitation the accuracy of the calculations pertinent to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that are included in the Compliance Certificate.</w:t>
      </w:r>
    </w:p>
    <w:p>
      <w:pPr>
        <w:spacing w:after="0" w:line="140" w:lineRule="exact"/>
        <w:rPr>
          <w:rFonts w:ascii="Arial" w:cs="Arial" w:eastAsia="Arial" w:hAnsi="Arial"/>
          <w:sz w:val="18"/>
          <w:szCs w:val="18"/>
          <w:color w:val="auto"/>
        </w:rPr>
      </w:pPr>
    </w:p>
    <w:p>
      <w:pPr>
        <w:ind w:right="280" w:firstLine="464"/>
        <w:spacing w:after="0" w:line="332" w:lineRule="auto"/>
        <w:tabs>
          <w:tab w:leader="none" w:pos="6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94" w:name="page95"/>
    <w:bookmarkEnd w:id="9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posts such documents, or provides a link thereto on the Company’s website on the Internet at http://matrixservice.com/InvestorSECFiling.asp; or (ii) on which such documents are posted on the Company’s behalf on the SEC’s website); provided that: (x) the Company shall deliver paper copies of such documents to the Administrative Agent or any Lender that requests the Company to deliver such paper copies and (y) the Company shall notify (which may be by facsimile or electronic mail) the Administrative Agent (and the Administrative Agent shall promptly notify the Lenders thereof) of the posting of any such documents and provide to the Administrative Agent (and the Administrative Agent shall promptly provide such documents to the Lenders) by electronic mail electronic versions (i.e., soft copies) of such documents.</w:t>
      </w:r>
    </w:p>
    <w:p>
      <w:pPr>
        <w:spacing w:after="0" w:line="12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Company will furnish to the Administrative Agent and each Lender prompt written notice of the following:</w:t>
      </w:r>
    </w:p>
    <w:p>
      <w:pPr>
        <w:spacing w:after="0" w:line="132" w:lineRule="exact"/>
        <w:rPr>
          <w:sz w:val="20"/>
          <w:szCs w:val="20"/>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71" w:lineRule="exact"/>
        <w:rPr>
          <w:rFonts w:ascii="Arial" w:cs="Arial" w:eastAsia="Arial" w:hAnsi="Arial"/>
          <w:sz w:val="18"/>
          <w:szCs w:val="18"/>
          <w:color w:val="auto"/>
        </w:rPr>
      </w:pPr>
    </w:p>
    <w:p>
      <w:pPr>
        <w:ind w:right="120" w:firstLine="464"/>
        <w:spacing w:after="0" w:line="332"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8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Company and its Subsidiaries in an aggregate amount exceeding $100,000.00;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w:t>
      </w:r>
      <w:r>
        <w:rPr>
          <w:rFonts w:ascii="Arial" w:cs="Arial" w:eastAsia="Arial" w:hAnsi="Arial"/>
          <w:sz w:val="16"/>
          <w:szCs w:val="16"/>
          <w:u w:val="single" w:color="auto"/>
          <w:color w:val="auto"/>
        </w:rPr>
        <w:t>Section 6.03</w:t>
      </w:r>
      <w:r>
        <w:rPr>
          <w:rFonts w:ascii="Arial" w:cs="Arial" w:eastAsia="Arial" w:hAnsi="Arial"/>
          <w:sz w:val="16"/>
          <w:szCs w:val="16"/>
          <w:color w:val="auto"/>
        </w:rPr>
        <w: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Company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Agreement Accounting Principles and (c) the failure to make payment pending such contest could not reasonably be expected to result in a Material Adverse Effect.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The Company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similar locations, and the Company will furnish to any Lender upon request full information as to all insurance carried.</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or any Lender, upon reasonable prior notice, to audit, visit and inspect its properties, to examine and make extracts from its books and records, and to discuss its affairs, finances and condition with its officers and independent accountants, all at such reasonable times and as often as reasonably requested. The Company will, and will cause each of its Subsidiaries to, maintain at all times books and records pertaining to the Collateral in such detail, form and scope as Agent or any Lender shall reasonably require.</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will be used only for the purposes set forth in this Agreement. No part of the proceeds of any Loan will be used, whether directly or indirectly, for any purpose that entails a violation of any of the Regulations of the Board, including Regulations T, U and X.</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Subsidiaries; Foreign Subsidiaries</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91"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Company shall notify Administrative Agent within ten (10) days of the time that any Person becomes a Subsidiary as a result of the creation of such Subsidiary or an Acquisition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or otherwise, which notice shall be accompanied by a revised </w:t>
      </w: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prepared by the Company and containing the information necessary to cause the representations and warranties of the Company set forth in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this Agreement to be true and correct in all material respects on and as of the date of delivery thereof to the Administrative Agent (each a “</w:t>
      </w:r>
      <w:r>
        <w:rPr>
          <w:rFonts w:ascii="Arial" w:cs="Arial" w:eastAsia="Arial" w:hAnsi="Arial"/>
          <w:sz w:val="16"/>
          <w:szCs w:val="16"/>
          <w:u w:val="single" w:color="auto"/>
          <w:color w:val="auto"/>
        </w:rPr>
        <w:t>Revised Schedule 3.13</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shall be replaced by any such Revised Schedule 3.13, and this Agreement shall be amended accordingly, upon approval of such Revised Schedule 3.13 by the Administrative Agent, notwithstanding any contrary provision of this Agreement.</w:t>
      </w:r>
    </w:p>
    <w:p>
      <w:pPr>
        <w:spacing w:after="0" w:line="120" w:lineRule="exact"/>
        <w:rPr>
          <w:rFonts w:ascii="Arial" w:cs="Arial" w:eastAsia="Arial" w:hAnsi="Arial"/>
          <w:sz w:val="16"/>
          <w:szCs w:val="16"/>
          <w:color w:val="auto"/>
        </w:rPr>
      </w:pPr>
    </w:p>
    <w:p>
      <w:pPr>
        <w:ind w:right="40" w:firstLine="464"/>
        <w:spacing w:after="0" w:line="288"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Within the earlier of (i) forty-five (45) days after the date that any Person becomes a Domestic Subsidiary as a result of the creation of such Domestic Subsidiary or an Acquisition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or otherwise (or such later time as may be agreed by the Administrative Agent up to thirty (30) days after the end of such forth-five (45) day period) or (ii) twenty (20) days after demand therefor by the Administrative Agent, (i) the Company shall cause such Subsidiary to become a Guarantor by such Domestic Subsidiary executing and delivering to Administrative Agent a counterpart of the Existing Guarantees or such other document as Administrative Agent shall deem appropriate for such purpose, (ii) if required by Administrative Agent, such Domestic Subsidiary shall execute and deliver to Administrative Agent a Security Agreement to secure the Obligations, along with such documents and instruments as may be necessary to perfect the applicable security interest(s), (iii) if required by Administrative Agent, the Person(s) owning such Subsidiary’s Equity Interests shall execute and deliver such documents and instruments as Administrative Agent shall require to pledge 100% of the Equity Interests in such Subsidiary to secure the Obligations (provided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nothing herein shall negate the effect of any Existing Security Agreement then in effect that encumbers such Equity Interests) and to perfect such pledge, and</w:t>
      </w:r>
    </w:p>
    <w:p>
      <w:pPr>
        <w:spacing w:after="0" w:line="50" w:lineRule="exact"/>
        <w:rPr>
          <w:sz w:val="20"/>
          <w:szCs w:val="20"/>
          <w:color w:val="auto"/>
        </w:rPr>
      </w:pPr>
    </w:p>
    <w:p>
      <w:pPr>
        <w:ind w:left="300" w:hanging="292"/>
        <w:spacing w:after="0"/>
        <w:tabs>
          <w:tab w:leader="none" w:pos="3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Company shall cause the Administrative Agent to receive documents of the types referred to in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in regard to such Domestic</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Subsidiary (and, if applicable, the Person pledging the Equity Interests in such Subsidiary) and favorable opinions of counsel to such Person(s) (which shall cover, among other things, the legality, validity, binding effect and enforceability of the documentation referred to above and shall be addressed to the Administrative Agent and the Lenders), all in form, scope and content reasonably satisfactory to Administrative Agent.</w:t>
      </w:r>
    </w:p>
    <w:p>
      <w:pPr>
        <w:spacing w:after="0" w:line="144" w:lineRule="exact"/>
        <w:rPr>
          <w:rFonts w:ascii="Arial" w:cs="Arial" w:eastAsia="Arial" w:hAnsi="Arial"/>
          <w:sz w:val="16"/>
          <w:szCs w:val="16"/>
          <w:color w:val="auto"/>
        </w:rPr>
      </w:pPr>
    </w:p>
    <w:p>
      <w:pPr>
        <w:ind w:right="80" w:firstLine="464"/>
        <w:spacing w:after="0" w:line="259" w:lineRule="auto"/>
        <w:tabs>
          <w:tab w:leader="none" w:pos="6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as of the close of any fiscal quarter the total assets of the Foreign Subsidiaries comprise 15% or more of the consolidated total assets of the Company and its Subsidiaries, then as to those Foreign Subsidiary(s) so designated by the Administrative Agent, any one or more of the following, as requested by the Administrative Agent, shall occur:</w:t>
      </w:r>
    </w:p>
    <w:p>
      <w:pPr>
        <w:spacing w:after="0" w:line="140" w:lineRule="exact"/>
        <w:rPr>
          <w:rFonts w:ascii="Arial" w:cs="Arial" w:eastAsia="Arial" w:hAnsi="Arial"/>
          <w:sz w:val="18"/>
          <w:szCs w:val="18"/>
          <w:color w:val="auto"/>
        </w:rPr>
      </w:pPr>
    </w:p>
    <w:p>
      <w:pPr>
        <w:ind w:right="100" w:firstLine="921"/>
        <w:spacing w:after="0" w:line="268" w:lineRule="auto"/>
        <w:tabs>
          <w:tab w:leader="none" w:pos="1123" w:val="left"/>
        </w:tabs>
        <w:numPr>
          <w:ilvl w:val="2"/>
          <w:numId w:val="90"/>
        </w:numPr>
        <w:rPr>
          <w:rFonts w:ascii="Arial" w:cs="Arial" w:eastAsia="Arial" w:hAnsi="Arial"/>
          <w:sz w:val="18"/>
          <w:szCs w:val="18"/>
          <w:color w:val="auto"/>
        </w:rPr>
      </w:pPr>
      <w:r>
        <w:rPr>
          <w:rFonts w:ascii="Arial" w:cs="Arial" w:eastAsia="Arial" w:hAnsi="Arial"/>
          <w:sz w:val="18"/>
          <w:szCs w:val="18"/>
          <w:color w:val="auto"/>
        </w:rPr>
        <w:t>such Foreign Subsidiary(s) shall execute and deliver to Administrative Agent a counterpart of the Existing Guarantees or such other document as Administrative Agent shall deem appropriate for such purpose,</w:t>
      </w:r>
    </w:p>
    <w:p>
      <w:pPr>
        <w:spacing w:after="0" w:line="131" w:lineRule="exact"/>
        <w:rPr>
          <w:rFonts w:ascii="Arial" w:cs="Arial" w:eastAsia="Arial" w:hAnsi="Arial"/>
          <w:sz w:val="18"/>
          <w:szCs w:val="18"/>
          <w:color w:val="auto"/>
        </w:rPr>
      </w:pPr>
    </w:p>
    <w:p>
      <w:pPr>
        <w:ind w:right="780" w:firstLine="921"/>
        <w:spacing w:after="0" w:line="268" w:lineRule="auto"/>
        <w:tabs>
          <w:tab w:leader="none" w:pos="1171" w:val="left"/>
        </w:tabs>
        <w:numPr>
          <w:ilvl w:val="2"/>
          <w:numId w:val="90"/>
        </w:numPr>
        <w:rPr>
          <w:rFonts w:ascii="Arial" w:cs="Arial" w:eastAsia="Arial" w:hAnsi="Arial"/>
          <w:sz w:val="18"/>
          <w:szCs w:val="18"/>
          <w:color w:val="auto"/>
        </w:rPr>
      </w:pPr>
      <w:r>
        <w:rPr>
          <w:rFonts w:ascii="Arial" w:cs="Arial" w:eastAsia="Arial" w:hAnsi="Arial"/>
          <w:sz w:val="18"/>
          <w:szCs w:val="18"/>
          <w:color w:val="auto"/>
        </w:rPr>
        <w:t>such Foreign Subsidiary(s) shall execute and deliver to Administrative Agent a Security Agreement to secure the Obligations and such documents as may be necessary to perfect the applicable security interest(s),</w:t>
      </w:r>
    </w:p>
    <w:p>
      <w:pPr>
        <w:spacing w:after="0" w:line="131" w:lineRule="exact"/>
        <w:rPr>
          <w:rFonts w:ascii="Arial" w:cs="Arial" w:eastAsia="Arial" w:hAnsi="Arial"/>
          <w:sz w:val="18"/>
          <w:szCs w:val="18"/>
          <w:color w:val="auto"/>
        </w:rPr>
      </w:pPr>
    </w:p>
    <w:p>
      <w:pPr>
        <w:jc w:val="both"/>
        <w:ind w:right="20" w:firstLine="921"/>
        <w:spacing w:after="0" w:line="256" w:lineRule="auto"/>
        <w:tabs>
          <w:tab w:leader="none" w:pos="12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Person(s) owning Equity Interests in such Foreign Subsidiary(s) shall execute and deliver such documents and instruments as Administrative Agent shall require to pledge 100% (or such lesser amount as may be approved by the Administrative Agent) of the Equity Interests in such Foreign Subsidiary(s) to secure the Obligations (provided that nothing herein shall negate the effect of any Security Agreement then in effect that encumbers such Equity Interests) and to perfect such pledge, and</w:t>
      </w:r>
    </w:p>
    <w:p>
      <w:pPr>
        <w:spacing w:after="0" w:line="143" w:lineRule="exact"/>
        <w:rPr>
          <w:rFonts w:ascii="Arial" w:cs="Arial" w:eastAsia="Arial" w:hAnsi="Arial"/>
          <w:sz w:val="18"/>
          <w:szCs w:val="18"/>
          <w:color w:val="auto"/>
        </w:rPr>
      </w:pPr>
    </w:p>
    <w:p>
      <w:pPr>
        <w:ind w:left="1220" w:hanging="299"/>
        <w:spacing w:after="0"/>
        <w:tabs>
          <w:tab w:leader="none" w:pos="12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Company shall cause the applicable Person(s) to deliver to the Administrative Agent the following:</w:t>
      </w:r>
    </w:p>
    <w:p>
      <w:pPr>
        <w:spacing w:after="0" w:line="90" w:lineRule="exact"/>
        <w:rPr>
          <w:rFonts w:ascii="Arial" w:cs="Arial" w:eastAsia="Arial" w:hAnsi="Arial"/>
          <w:sz w:val="18"/>
          <w:szCs w:val="18"/>
          <w:color w:val="auto"/>
        </w:rPr>
      </w:pPr>
    </w:p>
    <w:p>
      <w:pPr>
        <w:ind w:left="920" w:right="320" w:firstLine="421"/>
        <w:spacing w:after="0" w:line="268" w:lineRule="auto"/>
        <w:tabs>
          <w:tab w:leader="none" w:pos="1627" w:val="left"/>
        </w:tabs>
        <w:numPr>
          <w:ilvl w:val="3"/>
          <w:numId w:val="90"/>
        </w:numPr>
        <w:rPr>
          <w:rFonts w:ascii="Arial" w:cs="Arial" w:eastAsia="Arial" w:hAnsi="Arial"/>
          <w:sz w:val="18"/>
          <w:szCs w:val="18"/>
          <w:color w:val="auto"/>
        </w:rPr>
      </w:pPr>
      <w:r>
        <w:rPr>
          <w:rFonts w:ascii="Arial" w:cs="Arial" w:eastAsia="Arial" w:hAnsi="Arial"/>
          <w:sz w:val="18"/>
          <w:szCs w:val="18"/>
          <w:color w:val="auto"/>
        </w:rPr>
        <w:t xml:space="preserve">documents of the types referred to in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regard to such Foreign Subsidiary(s) (and, if applicable, the Person pledging the Equity Interests in such Foreign Subsidiary(s))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3"/>
          <w:numId w:val="90"/>
        </w:numPr>
        <w:rPr>
          <w:rFonts w:ascii="Arial" w:cs="Arial" w:eastAsia="Arial" w:hAnsi="Arial"/>
          <w:sz w:val="18"/>
          <w:szCs w:val="18"/>
          <w:color w:val="auto"/>
        </w:rPr>
      </w:pPr>
      <w:r>
        <w:rPr>
          <w:rFonts w:ascii="Arial" w:cs="Arial" w:eastAsia="Arial" w:hAnsi="Arial"/>
          <w:sz w:val="18"/>
          <w:szCs w:val="18"/>
          <w:color w:val="auto"/>
        </w:rPr>
        <w:t>either of the following, all in form, scope and content reasonably satisfactory to the Administrative Agent:</w:t>
      </w:r>
    </w:p>
    <w:p>
      <w:pPr>
        <w:spacing w:after="0" w:line="90" w:lineRule="exact"/>
        <w:rPr>
          <w:rFonts w:ascii="Arial" w:cs="Arial" w:eastAsia="Arial" w:hAnsi="Arial"/>
          <w:sz w:val="18"/>
          <w:szCs w:val="18"/>
          <w:color w:val="auto"/>
        </w:rPr>
      </w:pPr>
    </w:p>
    <w:p>
      <w:pPr>
        <w:ind w:left="1940" w:right="200" w:firstLine="8"/>
        <w:spacing w:after="0" w:line="259" w:lineRule="auto"/>
        <w:tabs>
          <w:tab w:leader="none" w:pos="2189" w:val="left"/>
        </w:tabs>
        <w:numPr>
          <w:ilvl w:val="4"/>
          <w:numId w:val="90"/>
        </w:numPr>
        <w:rPr>
          <w:rFonts w:ascii="Arial" w:cs="Arial" w:eastAsia="Arial" w:hAnsi="Arial"/>
          <w:sz w:val="18"/>
          <w:szCs w:val="18"/>
          <w:color w:val="auto"/>
        </w:rPr>
      </w:pPr>
      <w:r>
        <w:rPr>
          <w:rFonts w:ascii="Arial" w:cs="Arial" w:eastAsia="Arial" w:hAnsi="Arial"/>
          <w:sz w:val="18"/>
          <w:szCs w:val="18"/>
          <w:color w:val="auto"/>
        </w:rPr>
        <w:t xml:space="preserve">favorable opinions of counsel to such Person(s) (which shall cover, among other things, the legality, validity, binding effect and enforceability of the documentation referred to in </w:t>
      </w:r>
      <w:r>
        <w:rPr>
          <w:rFonts w:ascii="Arial" w:cs="Arial" w:eastAsia="Arial" w:hAnsi="Arial"/>
          <w:sz w:val="18"/>
          <w:szCs w:val="18"/>
          <w:u w:val="single" w:color="auto"/>
          <w:color w:val="auto"/>
        </w:rPr>
        <w:t>Section 5.09(c)(i)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and shall be addressed to the Administrative Agent and the Lenders), or</w:t>
      </w:r>
    </w:p>
    <w:p>
      <w:pPr>
        <w:spacing w:after="0" w:line="59" w:lineRule="exact"/>
        <w:rPr>
          <w:rFonts w:ascii="Arial" w:cs="Arial" w:eastAsia="Arial" w:hAnsi="Arial"/>
          <w:sz w:val="18"/>
          <w:szCs w:val="18"/>
          <w:color w:val="auto"/>
        </w:rPr>
      </w:pPr>
    </w:p>
    <w:p>
      <w:pPr>
        <w:ind w:left="2200" w:hanging="252"/>
        <w:spacing w:after="0"/>
        <w:tabs>
          <w:tab w:leader="none" w:pos="2200" w:val="left"/>
        </w:tabs>
        <w:numPr>
          <w:ilvl w:val="4"/>
          <w:numId w:val="90"/>
        </w:numPr>
        <w:rPr>
          <w:rFonts w:ascii="Arial" w:cs="Arial" w:eastAsia="Arial" w:hAnsi="Arial"/>
          <w:sz w:val="16"/>
          <w:szCs w:val="16"/>
          <w:color w:val="auto"/>
        </w:rPr>
      </w:pPr>
      <w:r>
        <w:rPr>
          <w:rFonts w:ascii="Arial" w:cs="Arial" w:eastAsia="Arial" w:hAnsi="Arial"/>
          <w:sz w:val="16"/>
          <w:szCs w:val="16"/>
          <w:color w:val="auto"/>
        </w:rPr>
        <w:t xml:space="preserve">other assurances in regard to the legality, validity, binding effect and enforceability of the documentation referred to in </w:t>
      </w:r>
      <w:r>
        <w:rPr>
          <w:rFonts w:ascii="Arial" w:cs="Arial" w:eastAsia="Arial" w:hAnsi="Arial"/>
          <w:sz w:val="16"/>
          <w:szCs w:val="16"/>
          <w:u w:val="single" w:color="auto"/>
          <w:color w:val="auto"/>
        </w:rPr>
        <w:t>Section</w:t>
      </w:r>
    </w:p>
    <w:p>
      <w:pPr>
        <w:spacing w:after="0" w:line="38"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5.09(c)(i)</w:t>
      </w:r>
      <w:r>
        <w:rPr>
          <w:rFonts w:ascii="Arial" w:cs="Arial" w:eastAsia="Arial" w:hAnsi="Arial"/>
          <w:sz w:val="18"/>
          <w:szCs w:val="18"/>
          <w:color w:val="auto"/>
        </w:rPr>
        <w:t xml:space="preserve">, (ii)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-17780</wp:posOffset>
            </wp:positionV>
            <wp:extent cx="1638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97" w:name="page98"/>
    <w:bookmarkEnd w:id="97"/>
    <w:p>
      <w:pPr>
        <w:ind w:firstLine="464"/>
        <w:spacing w:after="0" w:line="284" w:lineRule="auto"/>
        <w:tabs>
          <w:tab w:leader="none" w:pos="705"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for any rolling four quarters period the Foreign Subsidiary EBITDA is greater than or equal to 15% of the Consolidated EBITDA for the same period, then either (i) for purposes of calculating the Fixed Charge Coverage Ratio and Senior Leverage Ratio for such period, Consolidated EBITDA shall mean Consolidated EBITDA less an amount equal to the amount by which Foreign Subsidiary EBITDA exceeds 15% of the Consolidated EBITDA for such period or</w:t>
      </w:r>
    </w:p>
    <w:p>
      <w:pPr>
        <w:spacing w:after="0" w:line="1" w:lineRule="exact"/>
        <w:rPr>
          <w:rFonts w:ascii="Arial" w:cs="Arial" w:eastAsia="Arial" w:hAnsi="Arial"/>
          <w:sz w:val="16"/>
          <w:szCs w:val="16"/>
          <w:color w:val="auto"/>
        </w:rPr>
      </w:pPr>
    </w:p>
    <w:p>
      <w:pPr>
        <w:ind w:right="260" w:firstLine="8"/>
        <w:spacing w:after="0" w:line="302"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at the Company’s election, such election to be made and communicated in writing to the Administrative Agent in the Compliance Certificate for the applicable reporting period in question, such occurrence shall be treated the same as if the total assets of the Foreign Subsidiaries comprise 15% or more of the consolidated total assets of the Company and its Subsidiaries, as described in </w:t>
      </w:r>
      <w:r>
        <w:rPr>
          <w:rFonts w:ascii="Arial" w:cs="Arial" w:eastAsia="Arial" w:hAnsi="Arial"/>
          <w:sz w:val="16"/>
          <w:szCs w:val="16"/>
          <w:u w:val="single" w:color="auto"/>
          <w:color w:val="auto"/>
        </w:rPr>
        <w:t>Section 5.09(c)</w:t>
      </w:r>
      <w:r>
        <w:rPr>
          <w:rFonts w:ascii="Arial" w:cs="Arial" w:eastAsia="Arial" w:hAnsi="Arial"/>
          <w:sz w:val="16"/>
          <w:szCs w:val="16"/>
          <w:color w:val="auto"/>
        </w:rPr>
        <w:t xml:space="preserve"> above.</w:t>
      </w:r>
    </w:p>
    <w:p>
      <w:pPr>
        <w:spacing w:after="0" w:line="109" w:lineRule="exact"/>
        <w:rPr>
          <w:rFonts w:ascii="Arial" w:cs="Arial" w:eastAsia="Arial" w:hAnsi="Arial"/>
          <w:sz w:val="16"/>
          <w:szCs w:val="16"/>
          <w:color w:val="auto"/>
        </w:rPr>
      </w:pPr>
    </w:p>
    <w:p>
      <w:pPr>
        <w:ind w:right="40" w:firstLine="464"/>
        <w:spacing w:after="0" w:line="298" w:lineRule="auto"/>
        <w:tabs>
          <w:tab w:leader="none" w:pos="695"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If and to the extent that any documents and instruments are required to be delivered pursuant to </w:t>
      </w:r>
      <w:r>
        <w:rPr>
          <w:rFonts w:ascii="Arial" w:cs="Arial" w:eastAsia="Arial" w:hAnsi="Arial"/>
          <w:sz w:val="16"/>
          <w:szCs w:val="16"/>
          <w:u w:val="single" w:color="auto"/>
          <w:color w:val="auto"/>
        </w:rPr>
        <w:t>Section 5.09(c)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the Company shall deliver such documents and instruments to the Administrative Agent within 45 days after the Subsidiary Trigger Date. “</w:t>
      </w:r>
      <w:r>
        <w:rPr>
          <w:rFonts w:ascii="Arial" w:cs="Arial" w:eastAsia="Arial" w:hAnsi="Arial"/>
          <w:sz w:val="16"/>
          <w:szCs w:val="16"/>
          <w:u w:val="single" w:color="auto"/>
          <w:color w:val="auto"/>
        </w:rPr>
        <w:t>Subsidiary Trigger Date</w:t>
      </w:r>
      <w:r>
        <w:rPr>
          <w:rFonts w:ascii="Arial" w:cs="Arial" w:eastAsia="Arial" w:hAnsi="Arial"/>
          <w:sz w:val="16"/>
          <w:szCs w:val="16"/>
          <w:color w:val="auto"/>
        </w:rPr>
        <w:t xml:space="preserve">” means the date the Company delivers to the Administrative Agent and the Lenders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financial statements (and accompanying Compliance Certificate) that demonstrate that the applicable threshold set forth in </w:t>
      </w:r>
      <w:r>
        <w:rPr>
          <w:rFonts w:ascii="Arial" w:cs="Arial" w:eastAsia="Arial" w:hAnsi="Arial"/>
          <w:sz w:val="16"/>
          <w:szCs w:val="16"/>
          <w:u w:val="single" w:color="auto"/>
          <w:color w:val="auto"/>
        </w:rPr>
        <w:t>Section 5.09(c)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has been met.</w:t>
      </w:r>
    </w:p>
    <w:p>
      <w:pPr>
        <w:spacing w:after="0" w:line="113"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Collateral Records</w:t>
      </w:r>
      <w:r>
        <w:rPr>
          <w:rFonts w:ascii="Arial" w:cs="Arial" w:eastAsia="Arial" w:hAnsi="Arial"/>
          <w:sz w:val="16"/>
          <w:szCs w:val="16"/>
          <w:color w:val="auto"/>
        </w:rPr>
        <w:t>. The Company agrees to execute and deliver promptly, and to cause each other Credit Party to execute and deliver promptly, to the Administrative Agent, from time to time, solely for the Administrative Agent’s convenience in maintaining a record of the Collateral, such written statements and schedules as the Administrative Agent may reasonably require designating, identifying or describing the Collateral. The failure by the Company or any other Credit Party, however, to promptly give the Administrative Agent such statements or schedules shall not affect, diminish, modify or otherwise limit the Liens on the Collateral granted pursuant to the Collateral Documents.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u w:val="single" w:color="auto"/>
          <w:color w:val="auto"/>
        </w:rPr>
        <w:t>Security Interests</w:t>
      </w:r>
      <w:r>
        <w:rPr>
          <w:rFonts w:ascii="Arial" w:cs="Arial" w:eastAsia="Arial" w:hAnsi="Arial"/>
          <w:sz w:val="15"/>
          <w:szCs w:val="15"/>
          <w:color w:val="auto"/>
        </w:rPr>
        <w:t>. The Company shall, and shall cause each other Credit Party to, defend the Collateral against all claims and demands of all Persons at any time claiming the same or any interest therein. The Company shall, and shall cause each other Credit Party to, comply with the requirements of all state and federal laws in order to grant to the Administrative Agent valid and perfected first priority security interests in the Collateral, with perfection, in the case of any investment property or deposit account, being effected by giving the Administrative Agent control of such investment property or deposit account, rather than by the filing of a financing statement (under the UCC or PPSA) with respect to such investment property. The Administrative Agent is hereby authorized by the Company to file any financing statements (under the UCC or PPSA) covering the Collateral. The Company shall, and shall cause each other Credit Party to, do whatever the Administrative Agent may reasonably request, from time to time, to effect the purposes of this Agreement and the other Loan Documents, including filing notices of liens, financing statements (under the UCC or PPSA), fixture filings and amendments, renewals and continuations thereof; cooperating with the Administrative Agent’s representatives; keeping stock records; obtaining waivers from landlords and mortgagees and from warehousemen and their landlords and mortgagees; and, paying claims which might, if unpaid, become a Lien on any of the Collateral. Without limitation of the foregoing, after the Closing Date the Company shall, and shall cause each other Credit Party to, execute and deliver (i) such modifications to the Mortgages as the Administrative Agent requires, and (ii) control agreements covering any demand, time, savings, passbook, or other similar deposit account maintained by the Company or any other Credit Party with any bank or other financial institution, countersigned by such bank or financial institution, in form acceptable to the Administrative Agent.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98" w:name="page99"/>
    <w:bookmarkEnd w:id="98"/>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6"/>
          <w:szCs w:val="16"/>
          <w:u w:val="single" w:color="auto"/>
          <w:color w:val="auto"/>
        </w:rPr>
        <w:t>Matrix Service Specialized Transport, Inc.</w:t>
      </w:r>
      <w:r>
        <w:rPr>
          <w:rFonts w:ascii="Arial" w:cs="Arial" w:eastAsia="Arial" w:hAnsi="Arial"/>
          <w:sz w:val="16"/>
          <w:szCs w:val="16"/>
          <w:color w:val="auto"/>
        </w:rPr>
        <w:t xml:space="preserve"> The Company has notified Administrative Agent that it intends to cause Matrix Service Specialized Transport, Inc., a Pennsylvania corporation (“</w:t>
      </w:r>
      <w:r>
        <w:rPr>
          <w:rFonts w:ascii="Arial" w:cs="Arial" w:eastAsia="Arial" w:hAnsi="Arial"/>
          <w:sz w:val="16"/>
          <w:szCs w:val="16"/>
          <w:u w:val="single" w:color="auto"/>
          <w:color w:val="auto"/>
        </w:rPr>
        <w:t>Matrix Transport</w:t>
      </w:r>
      <w:r>
        <w:rPr>
          <w:rFonts w:ascii="Arial" w:cs="Arial" w:eastAsia="Arial" w:hAnsi="Arial"/>
          <w:sz w:val="16"/>
          <w:szCs w:val="16"/>
          <w:color w:val="auto"/>
        </w:rPr>
        <w:t>”), to cease to exist through a dissolution, merger into another Person, or otherwise (the “</w:t>
      </w:r>
      <w:r>
        <w:rPr>
          <w:rFonts w:ascii="Arial" w:cs="Arial" w:eastAsia="Arial" w:hAnsi="Arial"/>
          <w:sz w:val="16"/>
          <w:szCs w:val="16"/>
          <w:u w:val="single" w:color="auto"/>
          <w:color w:val="auto"/>
        </w:rPr>
        <w:t>Event</w:t>
      </w:r>
      <w:r>
        <w:rPr>
          <w:rFonts w:ascii="Arial" w:cs="Arial" w:eastAsia="Arial" w:hAnsi="Arial"/>
          <w:sz w:val="16"/>
          <w:szCs w:val="16"/>
          <w:color w:val="auto"/>
        </w:rPr>
        <w:t>”). Administrative Agent and the Lenders hereby consent to the Event subject to the following conditions:</w:t>
      </w:r>
    </w:p>
    <w:p>
      <w:pPr>
        <w:spacing w:after="0" w:line="107"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Event occurs on or before the March 31, 2014;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Event occurs at a time when no Default or Event of Default then exists;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a part of or in conjunction with any such Event that occurs, the assets of Matrix Transport are transferred to or become the property of a Subsidiary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65" w:lineRule="exact"/>
        <w:rPr>
          <w:sz w:val="20"/>
          <w:szCs w:val="20"/>
          <w:color w:val="auto"/>
        </w:rPr>
      </w:pPr>
    </w:p>
    <w:p>
      <w:pPr>
        <w:ind w:left="1140" w:hanging="21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then party to a Subsidiary Guaranty; and</w:t>
      </w:r>
    </w:p>
    <w:p>
      <w:pPr>
        <w:spacing w:after="0" w:line="171" w:lineRule="exact"/>
        <w:rPr>
          <w:rFonts w:ascii="Arial" w:cs="Arial" w:eastAsia="Arial" w:hAnsi="Arial"/>
          <w:sz w:val="18"/>
          <w:szCs w:val="18"/>
          <w:color w:val="auto"/>
        </w:rPr>
      </w:pPr>
    </w:p>
    <w:p>
      <w:pPr>
        <w:ind w:right="400" w:firstLine="921"/>
        <w:spacing w:after="0" w:line="259" w:lineRule="auto"/>
        <w:tabs>
          <w:tab w:leader="none" w:pos="11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assets, including those assets of Matrix Transport, transferred to or that otherwise become property of such Subsidiary as part of or in conjunction with the Event, are subject to a perfected, first priority lien and security interest in favor of Administrative Agent, for the benefit of the Lenders, securing the Obligations.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Canadian Benefit Plans</w:t>
      </w:r>
      <w:r>
        <w:rPr>
          <w:rFonts w:ascii="Arial" w:cs="Arial" w:eastAsia="Arial" w:hAnsi="Arial"/>
          <w:sz w:val="18"/>
          <w:szCs w:val="18"/>
          <w:color w:val="auto"/>
        </w:rPr>
        <w:t>. The Company shall perform, and shall cause its Subsidiaries to perform, all obligations (including fiduciary, funding, investment and administration obligations) required to be performed in connection with each Canadian Benefit Plan and the funding media therefor; make, and cause its Subsidiaries to make, all contributions and pay, and cause its Subsidiaries to pay, all premiums required to be made or paid by it or them in accordance with the terms of the plan and all applicable laws; and withhold, and cause its Subsidiaries to withhold, by way of authorized payroll deductions or otherwise collect and pay into the plan all employee contributions required to be withheld or collected in accordance with the terms of the plan and all applicable laws.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Until the Revolving Loan Commitments have expired or terminated and the principal of and interest on each Loan and all fees payable hereunder have been paid in full and all Facility LCs have expired or terminated and all LC Disbursements shall have been reimbursed, each Borrower covenants and agrees with the Lenders that:</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will not, and will not permit any Subsidiary to, create, incur, assume or permit to exist any Indebtedness, except:</w:t>
      </w:r>
    </w:p>
    <w:p>
      <w:pPr>
        <w:spacing w:after="0" w:line="132" w:lineRule="exact"/>
        <w:rPr>
          <w:sz w:val="20"/>
          <w:szCs w:val="20"/>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Indebtedness to the Lenders created under or contemplated by this Agreement;</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and extensions, renewals and replacements of any such Indebtedness that do not increase the outstanding principal amount thereof;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Indebtedness of the Company to any Subsidiary and of any Subsidiary to the Company or any other Subsidiary;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Capital Lease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99" w:name="page100"/>
    <w:bookmarkEnd w:id="99"/>
    <w:p>
      <w:pPr>
        <w:ind w:right="60" w:firstLine="464"/>
        <w:spacing w:after="0" w:line="318" w:lineRule="auto"/>
        <w:tabs>
          <w:tab w:leader="none" w:pos="695" w:val="left"/>
        </w:tabs>
        <w:numPr>
          <w:ilvl w:val="0"/>
          <w:numId w:val="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incurred to finance the acquisition, construction or improvement of any fixed or capital assets other than Capital Lease Obligations, and including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Indebtedness is incurred or assumed prior to, contemporaneously with or within ninety (90) days after such acquisition or the completion of such construction or improvement and (ii) the aggregate principal amount of Indebtedness permitted by this clause (e) shall not exceed $500,000.00 at any time outstanding;</w:t>
      </w:r>
    </w:p>
    <w:p>
      <w:pPr>
        <w:spacing w:after="0" w:line="99" w:lineRule="exact"/>
        <w:rPr>
          <w:rFonts w:ascii="Arial" w:cs="Arial" w:eastAsia="Arial" w:hAnsi="Arial"/>
          <w:sz w:val="15"/>
          <w:szCs w:val="15"/>
          <w:color w:val="auto"/>
        </w:rPr>
      </w:pPr>
    </w:p>
    <w:p>
      <w:pPr>
        <w:ind w:right="580" w:firstLine="464"/>
        <w:spacing w:after="0" w:line="268" w:lineRule="auto"/>
        <w:tabs>
          <w:tab w:leader="none" w:pos="6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Indebtedness not described in subsections (a) through (e) above in an aggregate principal amount not exceeding $3,000,000.00 at any time outstanding;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Guarantees of the Company or any Subsidiary in respect of Indebtedness of the Company or any Subsidiary that is otherwise permitted under this Agreement.</w:t>
      </w:r>
    </w:p>
    <w:p>
      <w:pPr>
        <w:spacing w:after="0" w:line="132"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u w:val="single" w:color="auto"/>
          <w:color w:val="auto"/>
        </w:rPr>
        <w:t>Liens</w:t>
      </w:r>
      <w:r>
        <w:rPr>
          <w:rFonts w:ascii="Arial" w:cs="Arial" w:eastAsia="Arial" w:hAnsi="Arial"/>
          <w:sz w:val="15"/>
          <w:szCs w:val="15"/>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62" w:lineRule="exact"/>
        <w:rPr>
          <w:sz w:val="20"/>
          <w:szCs w:val="20"/>
          <w:color w:val="auto"/>
        </w:rPr>
      </w:pPr>
    </w:p>
    <w:p>
      <w:pPr>
        <w:ind w:left="700" w:hanging="236"/>
        <w:spacing w:after="0"/>
        <w:tabs>
          <w:tab w:leader="none" w:pos="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71" w:lineRule="exact"/>
        <w:rPr>
          <w:rFonts w:ascii="Arial" w:cs="Arial" w:eastAsia="Arial" w:hAnsi="Arial"/>
          <w:sz w:val="18"/>
          <w:szCs w:val="18"/>
          <w:color w:val="auto"/>
        </w:rPr>
      </w:pPr>
    </w:p>
    <w:p>
      <w:pPr>
        <w:ind w:right="40" w:firstLine="464"/>
        <w:spacing w:after="0" w:line="306" w:lineRule="auto"/>
        <w:tabs>
          <w:tab w:leader="none" w:pos="705"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Company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06" w:lineRule="exact"/>
        <w:rPr>
          <w:rFonts w:ascii="Arial" w:cs="Arial" w:eastAsia="Arial" w:hAnsi="Arial"/>
          <w:sz w:val="16"/>
          <w:szCs w:val="16"/>
          <w:color w:val="auto"/>
        </w:rPr>
      </w:pPr>
    </w:p>
    <w:p>
      <w:pPr>
        <w:ind w:right="260" w:firstLine="464"/>
        <w:spacing w:after="0" w:line="305" w:lineRule="auto"/>
        <w:tabs>
          <w:tab w:leader="none" w:pos="695"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Liens on fixed or capital assets acquired, constructed or improved by the Company or any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security interests secure Indebtedness permitted by clause (e) of </w:t>
      </w:r>
      <w:r>
        <w:rPr>
          <w:rFonts w:ascii="Arial" w:cs="Arial" w:eastAsia="Arial" w:hAnsi="Arial"/>
          <w:sz w:val="15"/>
          <w:szCs w:val="15"/>
          <w:u w:val="single" w:color="auto"/>
          <w:color w:val="auto"/>
        </w:rPr>
        <w:t>Section 6.01</w:t>
      </w:r>
      <w:r>
        <w:rPr>
          <w:rFonts w:ascii="Arial" w:cs="Arial" w:eastAsia="Arial" w:hAnsi="Arial"/>
          <w:sz w:val="15"/>
          <w:szCs w:val="15"/>
          <w:color w:val="auto"/>
        </w:rPr>
        <w:t>, (ii) such security interests and the Indebtedness secured thereby are incurred prior to or within ninety</w:t>
      </w: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days after such acquisition or the completion of such construction or improvement, (iii) the Indebtedness secured thereby does not exceed ninety percent</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(90%) of the cost of acquiring, constructing or improving such fixed or capital assets and (iv) such security interests shall not apply to any other property or assets of the Company or any Subsidiary;</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Liens relating to Capital Lease Obligations permitted by clause (d)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464"/>
        <w:spacing w:after="0" w:line="306" w:lineRule="auto"/>
        <w:tabs>
          <w:tab w:leader="none" w:pos="695"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case of any Subsidiary that is not a Wholly-Owned Subsidiary, any purchase options, calls or similar rights set forth in its organizational documents or any related joint venture or similar agreement, provided that in any such case such purchase options, calls or similar rights are subordinated to any Lien in favor of the Administrative Agent in a manner reasonably satisfactory to the Administrative Agent;</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Liens not otherwise permitted hereunder; provided that the aggregate principal amount of the obligations secured by such Liens does not exceed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$3,000,000.00 at any time outstanding;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00" w:name="page101"/>
    <w:bookmarkEnd w:id="100"/>
    <w:p>
      <w:pPr>
        <w:ind w:left="460" w:right="2260" w:firstLine="4"/>
        <w:spacing w:after="0" w:line="438" w:lineRule="auto"/>
        <w:tabs>
          <w:tab w:leader="none" w:pos="709"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in favor of the Administrative Agent, for the benefit of the Lenders, granted pursuant to any Collateral Document. 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 w:lineRule="exact"/>
        <w:rPr>
          <w:sz w:val="20"/>
          <w:szCs w:val="20"/>
          <w:color w:val="auto"/>
        </w:rPr>
      </w:pPr>
    </w:p>
    <w:p>
      <w:pPr>
        <w:ind w:right="40" w:firstLine="464"/>
        <w:spacing w:after="0" w:line="288"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merge into, or amalgamate, or consolidate with any other Person, or permit any other Person to merge into, or amalgamate, or consolidate with it, or liquidate or dissolve, except that, if at the time thereof and immediately after giving effect thereto no Default shall have occurred and be continuing (i) any Subsidiary may merge into the Company in a transaction in which the Company is the surviving corporation, (ii) any Subsidiary may merge into any other Subsidiary in a transaction in which the surviving entity is a Subsidiary, and (iii) any Subsidiary may sell, transfer, lease or otherwise dispose of all its assets to the Company or to another Subsidiary and subsequently liquidate or dissolve; provided that (A) at least thirty (30) days prior to the effectiveness of any of those transactions described in (a) (i), (ii) and (iii), the Company shall provide to the Administrative Agent notice and a description of the material provisions of such transaction, and (B) prior to the effectiveness of any such transaction, the Company shall provide to the Administrative Agent all documents, agreements and instruments that Administrative Agent shall request relating to the Liens against property of any Subsidiary and the perfection thereof.</w:t>
      </w:r>
    </w:p>
    <w:p>
      <w:pPr>
        <w:spacing w:after="0" w:line="119" w:lineRule="exact"/>
        <w:rPr>
          <w:rFonts w:ascii="Arial" w:cs="Arial" w:eastAsia="Arial" w:hAnsi="Arial"/>
          <w:sz w:val="16"/>
          <w:szCs w:val="16"/>
          <w:color w:val="auto"/>
        </w:rPr>
      </w:pPr>
    </w:p>
    <w:p>
      <w:pPr>
        <w:ind w:right="100" w:firstLine="464"/>
        <w:spacing w:after="0" w:line="314" w:lineRule="auto"/>
        <w:tabs>
          <w:tab w:leader="none" w:pos="705"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The Company will not, and will not permit any Subsidiary to, sell, transfer, lease or otherwise dispose of (in one transaction or in a series of transactions) any of its assets (including without limitation Equity Interests in any Subsidiaries), whether now owned or hereafter acquired, except (i) sales of inventory and obsolete or unneeded equipment in the ordinary course of business and (ii) sales, transfers, leases or other dispositions of assets that, together with all other assets of the Company and its Subsidiaries previously leased, sold or disposed of (other than inventory and obsolete or unneeded equipment in the ordinary course of business) as permitted by this </w:t>
      </w:r>
      <w:r>
        <w:rPr>
          <w:rFonts w:ascii="Arial" w:cs="Arial" w:eastAsia="Arial" w:hAnsi="Arial"/>
          <w:sz w:val="15"/>
          <w:szCs w:val="15"/>
          <w:u w:val="single" w:color="auto"/>
          <w:color w:val="auto"/>
        </w:rPr>
        <w:t>Section 6.03(b)</w:t>
      </w:r>
      <w:r>
        <w:rPr>
          <w:rFonts w:ascii="Arial" w:cs="Arial" w:eastAsia="Arial" w:hAnsi="Arial"/>
          <w:sz w:val="15"/>
          <w:szCs w:val="15"/>
          <w:color w:val="auto"/>
        </w:rPr>
        <w:t xml:space="preserve"> during the twelve-month period ending with the month in which any such transfer, lease, sale or other disposition occurs, do not have a fair market value, as reasonably determined by the Board of Directors of the Company, in excess of $15,000,000.00.</w:t>
      </w:r>
    </w:p>
    <w:p>
      <w:pPr>
        <w:spacing w:after="0" w:line="104" w:lineRule="exact"/>
        <w:rPr>
          <w:rFonts w:ascii="Arial" w:cs="Arial" w:eastAsia="Arial" w:hAnsi="Arial"/>
          <w:sz w:val="15"/>
          <w:szCs w:val="15"/>
          <w:color w:val="auto"/>
        </w:rPr>
      </w:pPr>
    </w:p>
    <w:p>
      <w:pPr>
        <w:ind w:right="180" w:firstLine="464"/>
        <w:spacing w:after="0" w:line="298"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Subsidiaries to, engage to any material extent in any business other than businesses of the type conducted by the Company and/or any one or more of its Subsidiaries on the date of this Agreement and businesses substantially related or incidental thereto (it being understood that the Company and its Subsidiaries may expand their existing construction services, fabrication services and/or repair and maintenance services businesses into additional market segments or industries and augment their existing technology and expertise).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will not change its fiscal year.</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 Including Acquisitions of Joint Ventures</w:t>
      </w:r>
      <w:r>
        <w:rPr>
          <w:rFonts w:ascii="Arial" w:cs="Arial" w:eastAsia="Arial" w:hAnsi="Arial"/>
          <w:sz w:val="16"/>
          <w:szCs w:val="16"/>
          <w:color w:val="auto"/>
        </w:rPr>
        <w:t>. The Company will not, and will not permit any of its Subsidiaries to, make or permit any Acquisition, make or permit to exist any loans or advances to any other Person, Guarantee any obligations of any other Person, or make or permit to exist any investment or any other interest in any other Person, except</w:t>
      </w:r>
      <w:r>
        <w:rPr>
          <w:rFonts w:ascii="Arial" w:cs="Arial" w:eastAsia="Arial" w:hAnsi="Arial"/>
          <w:sz w:val="16"/>
          <w:szCs w:val="16"/>
          <w:b w:val="1"/>
          <w:bCs w:val="1"/>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Permitted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01" w:name="page102"/>
    <w:bookmarkEnd w:id="101"/>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by the Company existing on the date hereof in the capital stock of its Subsidiaries;</w:t>
      </w:r>
    </w:p>
    <w:p>
      <w:pPr>
        <w:spacing w:after="0" w:line="17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loans or advances made by the Company to any Subsidiary and made by any Subsidiary to the Company or any other Subsidiary, to the extent made in the ordinary course of business consistent with past practices;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Guarantees constituting Indebtedness permitted by </w:t>
      </w:r>
      <w:r>
        <w:rPr>
          <w:rFonts w:ascii="Arial" w:cs="Arial" w:eastAsia="Arial" w:hAnsi="Arial"/>
          <w:sz w:val="18"/>
          <w:szCs w:val="18"/>
          <w:u w:val="single" w:color="auto"/>
          <w:color w:val="auto"/>
        </w:rPr>
        <w:t>Section 6.01;</w:t>
      </w:r>
    </w:p>
    <w:p>
      <w:pPr>
        <w:spacing w:after="0" w:line="171" w:lineRule="exact"/>
        <w:rPr>
          <w:rFonts w:ascii="Arial" w:cs="Arial" w:eastAsia="Arial" w:hAnsi="Arial"/>
          <w:sz w:val="18"/>
          <w:szCs w:val="18"/>
          <w:color w:val="auto"/>
        </w:rPr>
      </w:pPr>
    </w:p>
    <w:p>
      <w:pPr>
        <w:ind w:right="48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Guarantees of the Company or any Subsidiary in respect of obligations (other than obligations constituting Indebtedness) of the Company or any Subsidiary, made in the ordinary course of business consistent with past practices;</w:t>
      </w:r>
    </w:p>
    <w:p>
      <w:pPr>
        <w:spacing w:after="0" w:line="131" w:lineRule="exact"/>
        <w:rPr>
          <w:rFonts w:ascii="Arial" w:cs="Arial" w:eastAsia="Arial" w:hAnsi="Arial"/>
          <w:sz w:val="18"/>
          <w:szCs w:val="18"/>
          <w:color w:val="auto"/>
        </w:rPr>
      </w:pPr>
    </w:p>
    <w:p>
      <w:pPr>
        <w:ind w:right="380" w:firstLine="464"/>
        <w:spacing w:after="0" w:line="268" w:lineRule="auto"/>
        <w:tabs>
          <w:tab w:leader="none" w:pos="6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Company for travel, entertainment, relocation and analogous ordinary business purposes in an aggregate amount not to exceed $1,000,000.00 at any time outstanding;</w:t>
      </w:r>
    </w:p>
    <w:p>
      <w:pPr>
        <w:spacing w:after="0" w:line="131" w:lineRule="exact"/>
        <w:rPr>
          <w:rFonts w:ascii="Arial" w:cs="Arial" w:eastAsia="Arial" w:hAnsi="Arial"/>
          <w:sz w:val="18"/>
          <w:szCs w:val="18"/>
          <w:color w:val="auto"/>
        </w:rPr>
      </w:pPr>
    </w:p>
    <w:p>
      <w:pPr>
        <w:ind w:right="500" w:firstLine="464"/>
        <w:spacing w:after="0" w:line="259"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and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Acquisitions so long as, as to each proposed Acquisition: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no Default or Event of Default is in existence at the time of the consummation of such proposed Acquisition or would exist after giving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4" w:lineRule="exact"/>
        <w:rPr>
          <w:rFonts w:ascii="Arial" w:cs="Arial" w:eastAsia="Arial" w:hAnsi="Arial"/>
          <w:sz w:val="16"/>
          <w:szCs w:val="16"/>
          <w:color w:val="auto"/>
        </w:rPr>
      </w:pPr>
    </w:p>
    <w:p>
      <w:pPr>
        <w:ind w:right="40" w:firstLine="921"/>
        <w:spacing w:after="0" w:line="306" w:lineRule="auto"/>
        <w:tabs>
          <w:tab w:leader="none" w:pos="117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representations and warranties contained in this Agreement and in the other Loan Documents shall be true and correct in all material respects with the same effect as though such representations and warranties were made on and as of the date of such proposed Acquisition (both before and after giving effect thereto) except to the extent limited to a specific prior date or incorrect as a result of transactions permitted under the Loan Documents,</w:t>
      </w:r>
    </w:p>
    <w:p>
      <w:pPr>
        <w:spacing w:after="0" w:line="106" w:lineRule="exact"/>
        <w:rPr>
          <w:rFonts w:ascii="Arial" w:cs="Arial" w:eastAsia="Arial" w:hAnsi="Arial"/>
          <w:sz w:val="16"/>
          <w:szCs w:val="16"/>
          <w:color w:val="auto"/>
        </w:rPr>
      </w:pPr>
    </w:p>
    <w:p>
      <w:pPr>
        <w:ind w:left="1220" w:hanging="299"/>
        <w:spacing w:after="0"/>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no other agreement, contract or instrument to which the Company or any Subsidiary is a party restricts such proposed Acquisition,</w:t>
      </w:r>
    </w:p>
    <w:p>
      <w:pPr>
        <w:spacing w:after="0" w:line="194" w:lineRule="exact"/>
        <w:rPr>
          <w:rFonts w:ascii="Arial" w:cs="Arial" w:eastAsia="Arial" w:hAnsi="Arial"/>
          <w:sz w:val="16"/>
          <w:szCs w:val="16"/>
          <w:color w:val="auto"/>
        </w:rPr>
      </w:pPr>
    </w:p>
    <w:p>
      <w:pPr>
        <w:ind w:firstLine="921"/>
        <w:spacing w:after="0" w:line="268" w:lineRule="auto"/>
        <w:tabs>
          <w:tab w:leader="none" w:pos="121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proposed Acquisition is not a hostile or contested Acquisition and is not opposed by the board of directors (or equivalent governing body) of the Person being acquired or the Person transferring the subject business unit or ongoing business,</w:t>
      </w:r>
    </w:p>
    <w:p>
      <w:pPr>
        <w:spacing w:after="0" w:line="131" w:lineRule="exact"/>
        <w:rPr>
          <w:rFonts w:ascii="Arial" w:cs="Arial" w:eastAsia="Arial" w:hAnsi="Arial"/>
          <w:sz w:val="18"/>
          <w:szCs w:val="18"/>
          <w:color w:val="auto"/>
        </w:rPr>
      </w:pPr>
    </w:p>
    <w:p>
      <w:pPr>
        <w:ind w:right="60" w:firstLine="921"/>
        <w:spacing w:after="0" w:line="268" w:lineRule="auto"/>
        <w:tabs>
          <w:tab w:leader="none" w:pos="11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case of an Acquisition that entails a merger or consolidation or other combination with another Person, the Company or one of its wholly-owned Subsidiaries is the surviving entity,</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100" w:firstLine="421"/>
        <w:spacing w:after="0" w:line="259" w:lineRule="auto"/>
        <w:tabs>
          <w:tab w:leader="none" w:pos="162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(1) The applicable Permitted Acquisition Notice (described below) reflects that the Company’s Senior Leverage Ratio would be less than 1.0 to 1.0 on a pro forma basis as of the last day of the fiscal quarter immediately prior to such proposed Acquisition after giving effect to the consummation of such proposed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80" w:right="299" w:bottom="1440" w:gutter="0" w:footer="0" w:header="0"/>
        </w:sectPr>
      </w:pPr>
    </w:p>
    <w:bookmarkStart w:id="102" w:name="page103"/>
    <w:bookmarkEnd w:id="102"/>
    <w:p>
      <w:pPr>
        <w:ind w:left="90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 (with the Company’s Senior Leverage Ratio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w:t>
      </w:r>
    </w:p>
    <w:p>
      <w:pPr>
        <w:spacing w:after="0" w:line="26" w:lineRule="exact"/>
        <w:rPr>
          <w:sz w:val="20"/>
          <w:szCs w:val="20"/>
          <w:color w:val="auto"/>
        </w:rPr>
      </w:pPr>
    </w:p>
    <w:p>
      <w:pPr>
        <w:ind w:left="2180" w:hanging="252"/>
        <w:spacing w:after="0"/>
        <w:tabs>
          <w:tab w:leader="none" w:pos="21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50% of the Revolving Loan Commitment was unused after the consummation of the Acquisition; or</w:t>
      </w:r>
    </w:p>
    <w:p>
      <w:pPr>
        <w:spacing w:after="0" w:line="90" w:lineRule="exact"/>
        <w:rPr>
          <w:rFonts w:ascii="Arial" w:cs="Arial" w:eastAsia="Arial" w:hAnsi="Arial"/>
          <w:sz w:val="18"/>
          <w:szCs w:val="18"/>
          <w:color w:val="auto"/>
        </w:rPr>
      </w:pPr>
    </w:p>
    <w:p>
      <w:pPr>
        <w:ind w:left="900" w:firstLine="421"/>
        <w:spacing w:after="0" w:line="254" w:lineRule="auto"/>
        <w:tabs>
          <w:tab w:leader="none" w:pos="159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 The applicable Permitted Acquisition Notice reflects that the Company’s Senior Leverage Ratio would be greater than or equal to 1.0 to 1.0 but less than 1.75 to 1.0 on a pro forma basis as of the last day of the fiscal quarter immediately prior to such proposed Acquisition after giving effect to the consummation of such proposed Acquisition (with the Company’s Senior Leverage Ratio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w:t>
      </w:r>
    </w:p>
    <w:p>
      <w:pPr>
        <w:spacing w:after="0" w:line="63" w:lineRule="exact"/>
        <w:rPr>
          <w:rFonts w:ascii="Arial" w:cs="Arial" w:eastAsia="Arial" w:hAnsi="Arial"/>
          <w:sz w:val="18"/>
          <w:szCs w:val="18"/>
          <w:color w:val="auto"/>
        </w:rPr>
      </w:pPr>
    </w:p>
    <w:p>
      <w:pPr>
        <w:ind w:left="2180" w:hanging="252"/>
        <w:spacing w:after="0"/>
        <w:tabs>
          <w:tab w:leader="none" w:pos="218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at least $25,000,000 of the Revolving Loan Commitment was unused after the consummation of the Acquisition, and</w:t>
      </w:r>
    </w:p>
    <w:p>
      <w:pPr>
        <w:spacing w:after="0" w:line="113" w:lineRule="exact"/>
        <w:rPr>
          <w:rFonts w:ascii="Arial" w:cs="Arial" w:eastAsia="Arial" w:hAnsi="Arial"/>
          <w:sz w:val="16"/>
          <w:szCs w:val="16"/>
          <w:color w:val="auto"/>
        </w:rPr>
      </w:pPr>
    </w:p>
    <w:p>
      <w:pPr>
        <w:ind w:left="1920" w:right="80" w:firstLine="8"/>
        <w:spacing w:after="0" w:line="294" w:lineRule="auto"/>
        <w:tabs>
          <w:tab w:leader="none" w:pos="2169"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consideration paid or to be paid in connection with such Acquisition, when added to the consideration paid in connection with all other Acquisitions that occurred during the one-year period ending on the date of such proposed Acquisition, does not exceed $25,000,000 (provided that for the purposes of this subsection (B)(3), if a Person to be acquired in an applicable Acquisition owns or otherwise has an interest in a Joint Venture, that Joint Venture shall not count against this $25,000,000 threshold as long as the entire consideration paid or to be paid for the Person to be acquired in such Acquisition is counted against such threshold),</w:t>
      </w:r>
    </w:p>
    <w:p>
      <w:pPr>
        <w:spacing w:after="0" w:line="115" w:lineRule="exact"/>
        <w:rPr>
          <w:rFonts w:ascii="Arial" w:cs="Arial" w:eastAsia="Arial" w:hAnsi="Arial"/>
          <w:sz w:val="16"/>
          <w:szCs w:val="16"/>
          <w:color w:val="auto"/>
        </w:rPr>
      </w:pPr>
    </w:p>
    <w:p>
      <w:pPr>
        <w:ind w:left="-20" w:firstLine="921"/>
        <w:spacing w:after="0" w:line="288" w:lineRule="auto"/>
        <w:tabs>
          <w:tab w:leader="none" w:pos="123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shall have given the Administrative Agent written notice at least five (5) Business Days prior to consummation of such proposed Acquisition (each of such notices, a “</w:t>
      </w:r>
      <w:r>
        <w:rPr>
          <w:rFonts w:ascii="Arial" w:cs="Arial" w:eastAsia="Arial" w:hAnsi="Arial"/>
          <w:sz w:val="16"/>
          <w:szCs w:val="16"/>
          <w:u w:val="single" w:color="auto"/>
          <w:color w:val="auto"/>
        </w:rPr>
        <w:t>Permitted Acquisition Notice</w:t>
      </w:r>
      <w:r>
        <w:rPr>
          <w:rFonts w:ascii="Arial" w:cs="Arial" w:eastAsia="Arial" w:hAnsi="Arial"/>
          <w:sz w:val="16"/>
          <w:szCs w:val="16"/>
          <w:color w:val="auto"/>
        </w:rPr>
        <w:t>”), which notice shall (A) contain the estimated date that such proposed Acquisition is scheduled to be consummated, (B) attach a true and correct copy of the most recent draft of the principal Acquisition Document (if available) or, if the principal Acquisition Document is not available, the letter of intent, description of material terms or similar agreements executed by the parties thereto in connection with such proposed Acquisition, (C) contain the estimated aggregate consideration to be paid in connection such proposed Acquisition and the estimated amount of related costs and expenses and the intended method of financing thereof (which may include a Borrowing hereunder), (D) contain audited (to the extent available) or internally prepared financial statements, and a back log report, in each case for the most recent year-end and quarterly periods of the target company (in the case of an Acquisition of Equity Interests) or for the applicable business unit or ongoing business, as the case may be, (E) combined income statement and estimated closing balance sheet prepared by or on behalf of the Company, in each case outlining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60" w:top="280" w:right="259" w:bottom="1440" w:gutter="0" w:footer="0" w:header="0"/>
        </w:sectPr>
      </w:pPr>
    </w:p>
    <w:bookmarkStart w:id="103" w:name="page104"/>
    <w:bookmarkEnd w:id="10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performance and condition of each of the Company and the target, and the combination of both, (F) be accompanied by a Compliance Certificate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signed by the Company’s chief financial officer, that includes calculations showing the Company’s compliance on a pro forma basis as of the last day of the fiscal quarter immediately prior to such proposed Acquisition with the covenants contained in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after giving effect to the consummation of such proposed Acquisition (and for purposes of calculating any financial ratios or determinations that enter into the calculation of any financial covenant hereunder, such calculation shall be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 (G) include an officer’s certificate executed by a Financial Officer of the Company, certifying as to compliance with the requirements of this </w:t>
      </w:r>
      <w:r>
        <w:rPr>
          <w:rFonts w:ascii="Arial" w:cs="Arial" w:eastAsia="Arial" w:hAnsi="Arial"/>
          <w:sz w:val="16"/>
          <w:szCs w:val="16"/>
          <w:u w:val="single" w:color="auto"/>
          <w:color w:val="auto"/>
        </w:rPr>
        <w:t>Section 6.04(h)</w:t>
      </w:r>
      <w:r>
        <w:rPr>
          <w:rFonts w:ascii="Arial" w:cs="Arial" w:eastAsia="Arial" w:hAnsi="Arial"/>
          <w:sz w:val="16"/>
          <w:szCs w:val="16"/>
          <w:color w:val="auto"/>
        </w:rPr>
        <w:t xml:space="preserve">, containing the calculations required in this </w:t>
      </w:r>
      <w:r>
        <w:rPr>
          <w:rFonts w:ascii="Arial" w:cs="Arial" w:eastAsia="Arial" w:hAnsi="Arial"/>
          <w:sz w:val="16"/>
          <w:szCs w:val="16"/>
          <w:u w:val="single" w:color="auto"/>
          <w:color w:val="auto"/>
        </w:rPr>
        <w:t>Section 6.04(h)</w:t>
      </w:r>
      <w:r>
        <w:rPr>
          <w:rFonts w:ascii="Arial" w:cs="Arial" w:eastAsia="Arial" w:hAnsi="Arial"/>
          <w:sz w:val="16"/>
          <w:szCs w:val="16"/>
          <w:color w:val="auto"/>
        </w:rPr>
        <w:t xml:space="preserve"> and not included in the certificate described in subparagraph (F) immediately above,</w:t>
      </w:r>
    </w:p>
    <w:p>
      <w:pPr>
        <w:spacing w:after="0" w:line="120" w:lineRule="exact"/>
        <w:rPr>
          <w:sz w:val="20"/>
          <w:szCs w:val="20"/>
          <w:color w:val="auto"/>
        </w:rPr>
      </w:pPr>
    </w:p>
    <w:p>
      <w:pPr>
        <w:ind w:firstLine="921"/>
        <w:spacing w:after="0" w:line="268" w:lineRule="auto"/>
        <w:tabs>
          <w:tab w:leader="none" w:pos="13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request following delivery of the Permitted Acquisition Notice, the Company shall have provided the Administrative Agent and each of the Lenders with such additional information as the Administrative Agent shall have reasonably requested,</w:t>
      </w:r>
    </w:p>
    <w:p>
      <w:pPr>
        <w:spacing w:after="0" w:line="131" w:lineRule="exact"/>
        <w:rPr>
          <w:rFonts w:ascii="Arial" w:cs="Arial" w:eastAsia="Arial" w:hAnsi="Arial"/>
          <w:sz w:val="18"/>
          <w:szCs w:val="18"/>
          <w:color w:val="auto"/>
        </w:rPr>
      </w:pPr>
    </w:p>
    <w:p>
      <w:pPr>
        <w:ind w:right="100" w:firstLine="921"/>
        <w:spacing w:after="0" w:line="268" w:lineRule="auto"/>
        <w:tabs>
          <w:tab w:leader="none" w:pos="121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such Acquisition entails the acquisition of the Equity Interests of a Person (the “</w:t>
      </w:r>
      <w:r>
        <w:rPr>
          <w:rFonts w:ascii="Arial" w:cs="Arial" w:eastAsia="Arial" w:hAnsi="Arial"/>
          <w:sz w:val="18"/>
          <w:szCs w:val="18"/>
          <w:u w:val="single" w:color="auto"/>
          <w:color w:val="auto"/>
        </w:rPr>
        <w:t>Target</w:t>
      </w:r>
      <w:r>
        <w:rPr>
          <w:rFonts w:ascii="Arial" w:cs="Arial" w:eastAsia="Arial" w:hAnsi="Arial"/>
          <w:sz w:val="18"/>
          <w:szCs w:val="18"/>
          <w:color w:val="auto"/>
        </w:rPr>
        <w:t>”), the Acquisition is structured so that the Target shall become a Subsidiary of a Credit Party and, within forty-five (45) days after consummation of the Acquisition:</w:t>
      </w:r>
    </w:p>
    <w:p>
      <w:pPr>
        <w:spacing w:after="0" w:line="50" w:lineRule="exact"/>
        <w:rPr>
          <w:rFonts w:ascii="Arial" w:cs="Arial" w:eastAsia="Arial" w:hAnsi="Arial"/>
          <w:sz w:val="18"/>
          <w:szCs w:val="18"/>
          <w:color w:val="auto"/>
        </w:rPr>
      </w:pPr>
    </w:p>
    <w:p>
      <w:pPr>
        <w:ind w:left="920" w:right="1000" w:firstLine="421"/>
        <w:spacing w:after="0" w:line="268" w:lineRule="auto"/>
        <w:tabs>
          <w:tab w:leader="none" w:pos="162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Target executes and delivers to Administrative Agent a counterpart of the Existing Guarantees or such other document as Administrative Agent shall deem appropriate for such purpose,</w:t>
      </w:r>
    </w:p>
    <w:p>
      <w:pPr>
        <w:spacing w:after="0" w:line="50" w:lineRule="exact"/>
        <w:rPr>
          <w:rFonts w:ascii="Arial" w:cs="Arial" w:eastAsia="Arial" w:hAnsi="Arial"/>
          <w:sz w:val="18"/>
          <w:szCs w:val="18"/>
          <w:color w:val="auto"/>
        </w:rPr>
      </w:pPr>
    </w:p>
    <w:p>
      <w:pPr>
        <w:ind w:left="920" w:right="140" w:firstLine="421"/>
        <w:spacing w:after="0" w:line="268" w:lineRule="auto"/>
        <w:tabs>
          <w:tab w:leader="none" w:pos="16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Target executes and delivers to the Administrative Agent a Security Agreement to secure the Obligations and such documents as may be necessary to perfect the applicable security interest(s),</w:t>
      </w:r>
    </w:p>
    <w:p>
      <w:pPr>
        <w:spacing w:after="0" w:line="50" w:lineRule="exact"/>
        <w:rPr>
          <w:rFonts w:ascii="Arial" w:cs="Arial" w:eastAsia="Arial" w:hAnsi="Arial"/>
          <w:sz w:val="18"/>
          <w:szCs w:val="18"/>
          <w:color w:val="auto"/>
        </w:rPr>
      </w:pPr>
    </w:p>
    <w:p>
      <w:pPr>
        <w:ind w:left="920" w:right="80" w:firstLine="421"/>
        <w:spacing w:after="0" w:line="256" w:lineRule="auto"/>
        <w:tabs>
          <w:tab w:leader="none" w:pos="16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Person(s) acquiring such Equity Interests in the Target executes and delivers such documents and instruments as the Administrative Agent shall require to pledge 100% (or such lesser amount as may be approved by the Administrative Agent) of such Equity Interests to secure the Obligations (provided that nothing herein shall negate the effect of any Security Agreement then in effect that encumbers such Equity Interests) and to perfect such pledge, and</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causes the Target and the Person acquiring such Equity Interests to deliver to the Administrative Agent the following:</w:t>
      </w:r>
    </w:p>
    <w:p>
      <w:pPr>
        <w:spacing w:after="0" w:line="113" w:lineRule="exact"/>
        <w:rPr>
          <w:rFonts w:ascii="Arial" w:cs="Arial" w:eastAsia="Arial" w:hAnsi="Arial"/>
          <w:sz w:val="16"/>
          <w:szCs w:val="16"/>
          <w:color w:val="auto"/>
        </w:rPr>
      </w:pPr>
    </w:p>
    <w:p>
      <w:pPr>
        <w:ind w:left="2200" w:hanging="252"/>
        <w:spacing w:after="0"/>
        <w:tabs>
          <w:tab w:leader="none" w:pos="22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documents of the types referred to in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either of the following, all in form, scope and content reasonably satisfactory to the Administrative Agent:</w:t>
      </w:r>
    </w:p>
    <w:p>
      <w:pPr>
        <w:spacing w:after="0" w:line="90" w:lineRule="exact"/>
        <w:rPr>
          <w:rFonts w:ascii="Arial" w:cs="Arial" w:eastAsia="Arial" w:hAnsi="Arial"/>
          <w:sz w:val="18"/>
          <w:szCs w:val="18"/>
          <w:color w:val="auto"/>
        </w:rPr>
      </w:pPr>
    </w:p>
    <w:p>
      <w:pPr>
        <w:ind w:left="2940" w:hanging="175"/>
        <w:spacing w:after="0"/>
        <w:tabs>
          <w:tab w:leader="none" w:pos="2940" w:val="left"/>
        </w:tabs>
        <w:numPr>
          <w:ilvl w:val="3"/>
          <w:numId w:val="105"/>
        </w:numPr>
        <w:rPr>
          <w:rFonts w:ascii="Arial" w:cs="Arial" w:eastAsia="Arial" w:hAnsi="Arial"/>
          <w:sz w:val="16"/>
          <w:szCs w:val="16"/>
          <w:color w:val="auto"/>
        </w:rPr>
      </w:pPr>
      <w:r>
        <w:rPr>
          <w:rFonts w:ascii="Arial" w:cs="Arial" w:eastAsia="Arial" w:hAnsi="Arial"/>
          <w:sz w:val="16"/>
          <w:szCs w:val="16"/>
          <w:color w:val="auto"/>
        </w:rPr>
        <w:t>favorable opinions of counsel to Company, the Person acquiring such Equity Interests and the Target (which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04" w:name="page105"/>
    <w:bookmarkEnd w:id="104"/>
    <w:p>
      <w:pPr>
        <w:ind w:left="2400"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cover, among other things, the legality, validity, binding effect and enforceability of the documentation referred to in </w:t>
      </w:r>
      <w:r>
        <w:rPr>
          <w:rFonts w:ascii="Arial" w:cs="Arial" w:eastAsia="Arial" w:hAnsi="Arial"/>
          <w:sz w:val="16"/>
          <w:szCs w:val="16"/>
          <w:u w:val="single" w:color="auto"/>
          <w:color w:val="auto"/>
        </w:rPr>
        <w:t>Section 6.04(h)(ix)(A)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and shall be addressed to the Administrative Agent and the Lenders), or</w:t>
      </w:r>
    </w:p>
    <w:p>
      <w:pPr>
        <w:spacing w:after="0" w:line="4" w:lineRule="exact"/>
        <w:rPr>
          <w:sz w:val="20"/>
          <w:szCs w:val="20"/>
          <w:color w:val="auto"/>
        </w:rPr>
      </w:pPr>
    </w:p>
    <w:p>
      <w:pPr>
        <w:ind w:left="2400" w:right="140" w:firstLine="365"/>
        <w:spacing w:after="0" w:line="268" w:lineRule="auto"/>
        <w:tabs>
          <w:tab w:leader="none" w:pos="295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other assurances in regard to the legality, validity, binding effect and enforceability of the documentation referred to in </w:t>
      </w:r>
      <w:r>
        <w:rPr>
          <w:rFonts w:ascii="Arial" w:cs="Arial" w:eastAsia="Arial" w:hAnsi="Arial"/>
          <w:sz w:val="18"/>
          <w:szCs w:val="18"/>
          <w:u w:val="single" w:color="auto"/>
          <w:color w:val="auto"/>
        </w:rPr>
        <w:t>Section 6.04(h)(ix)(A)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and</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Acquisition is of assets to be used in the Company’s or Subsidiaries’ business or is of Equity Interests of a Person engaged in business of a type that is substantially related or incidental to that of the Company and/or one or more its Subsidiaries, in each case compared to the business of the Company and Subsidiaries as conducted on the date of this Agreement, it being understood that any such acquired business may involve an expansion of the Company’s and its Subsidiaries’ construction services, fabrication services and/or repair and maintenance services businesses into additional market segments or industries and augment the Company’s and its Subsidiaries’ existing technology and expertise.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consummation of each Acquisition shall be deemed to be a representation and warranty by the Borrowers that all conditions thereto have been satisfied and that same is permitted in accordance with the terms of this Agreement, which representation and warranty shall be deemed to be a representation and warranty for all purposes hereunder.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Swap Agreements</w:t>
      </w:r>
      <w:r>
        <w:rPr>
          <w:rFonts w:ascii="Arial" w:cs="Arial" w:eastAsia="Arial" w:hAnsi="Arial"/>
          <w:sz w:val="18"/>
          <w:szCs w:val="18"/>
          <w:color w:val="auto"/>
        </w:rPr>
        <w:t>. The Company will not, and will not permit any of its Subsidiaries to, enter into any Swap Agreement, except (a) Swap Agreements with an Approved Counterparty entered into to hedge or mitigate risks to which the Company or any Subsidiary has actual exposure (other than those in respect of Equity Interests of the Company or any of its Subsidiaries), and (b) Swap Agreements with an Approved Counterparty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Company will not, and will not permit any of its Subsidiaries to, declare or make, or agree to pay or make, directly or indirectly, any Restricted Payment, except (a) the Company may declare and pay dividends with respect to its Equity Interests payable solely in additional shares of its common stock, (b) Subsidiaries may declare and pay dividends ratably with respect to their Equity Interests, (c) the Company may make Restricted Payments pursuant to and in accordance with stock incentive plans, employee stock purchase plans or other benefit plans for management or employees of the Company and its Subsidiaries, (d) the Company may declare and pay dividends on its capital stock during any fiscal year up to an amount which, when added to all other dividends paid during such fiscal year, does not exceed fifty percent (50%) of cumulative net income of the Company for such fiscal year to such date, and (e) the Company may make Restricted Payments for the purpose of repurchasing Equity Interests of the Company under the existing share buyback plan, as it may be amended from time to time, or under any other share buyback plan approved from time to time by the Company’s board of directors, in an aggregate amount not to exceed $25,000,000 in any calendar year, provided in all cases (a) through (e), inclusive, above that no Default or Event of Default shall exist before or after giving effect to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05" w:name="page106"/>
    <w:bookmarkEnd w:id="10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 and in the case of clauses (d) and (e), that Availability shall not be less than $10,000,000 before and after giving effect to such Restricted Payment.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Company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either not less favorable to the Company or such Subsidiary than could be obtained on an arm’s-length basis from unrelated third parties or upon fair and reasonable terms consistent with past practices by the Company or such Subsidiary (provided that transfers that occur solely for tax-related purposes from the Company to Subsidiary or from Subsidiary to Subsidiary shall be permitted), and (b) any Restricted Payment permitted by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SECTION 6.08. </w:t>
      </w:r>
      <w:r>
        <w:rPr>
          <w:rFonts w:ascii="Arial" w:cs="Arial" w:eastAsia="Arial" w:hAnsi="Arial"/>
          <w:sz w:val="15"/>
          <w:szCs w:val="15"/>
          <w:u w:val="single" w:color="auto"/>
          <w:color w:val="auto"/>
        </w:rPr>
        <w:t>Restrictive Agreements</w:t>
      </w:r>
      <w:r>
        <w:rPr>
          <w:rFonts w:ascii="Arial" w:cs="Arial" w:eastAsia="Arial" w:hAnsi="Arial"/>
          <w:sz w:val="15"/>
          <w:szCs w:val="15"/>
          <w:color w:val="auto"/>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to pay dividends or other Distributions with respect to any shares of its capital stock or to make or repay loans or advances to the Company or any other Subsidiary or to Guarantee Indebtedness of the Company or any other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foregoing shall not apply to restrictions and conditions imposed by law or by this Agreement, (ii) the foregoing shall not apply to restrictions and conditions existing on the date hereof identified on </w:t>
      </w:r>
      <w:r>
        <w:rPr>
          <w:rFonts w:ascii="Arial" w:cs="Arial" w:eastAsia="Arial" w:hAnsi="Arial"/>
          <w:sz w:val="15"/>
          <w:szCs w:val="15"/>
          <w:u w:val="single" w:color="auto"/>
          <w:color w:val="auto"/>
        </w:rPr>
        <w:t>Schedule 6.08</w:t>
      </w:r>
      <w:r>
        <w:rPr>
          <w:rFonts w:ascii="Arial" w:cs="Arial" w:eastAsia="Arial" w:hAnsi="Arial"/>
          <w:sz w:val="15"/>
          <w:szCs w:val="15"/>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entered into in the ordinary course of business restricting the assignment thereof.</w:t>
      </w:r>
    </w:p>
    <w:p>
      <w:pPr>
        <w:spacing w:after="0" w:line="11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Amendments to Agreements</w:t>
      </w:r>
      <w:r>
        <w:rPr>
          <w:rFonts w:ascii="Arial" w:cs="Arial" w:eastAsia="Arial" w:hAnsi="Arial"/>
          <w:sz w:val="18"/>
          <w:szCs w:val="18"/>
          <w:color w:val="auto"/>
        </w:rPr>
        <w:t>. The Company will not, and will not permit any Subsidiary to, amend or terminate any agreement or contract if such amendment or termination could reasonably be expected to cause a Material Adverse Effect.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Sale of Accounts</w:t>
      </w:r>
      <w:r>
        <w:rPr>
          <w:rFonts w:ascii="Arial" w:cs="Arial" w:eastAsia="Arial" w:hAnsi="Arial"/>
          <w:sz w:val="18"/>
          <w:szCs w:val="18"/>
          <w:color w:val="auto"/>
        </w:rPr>
        <w:t>. The Company will not, nor will it permit any Subsidiary to, sell or otherwise dispose of any notes receivable or accounts receivable, with or without recourse.</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Off-Balance Sheet Liabilities</w:t>
      </w:r>
      <w:r>
        <w:rPr>
          <w:rFonts w:ascii="Arial" w:cs="Arial" w:eastAsia="Arial" w:hAnsi="Arial"/>
          <w:sz w:val="16"/>
          <w:szCs w:val="16"/>
          <w:color w:val="auto"/>
        </w:rPr>
        <w:t>. The Company will not, nor will it permit any Subsidiary to, enter into or suffer to exist any transaction pursuant to which it incurs or has incurred Off-Balance Sheet Liabilities, except for obligations under Swap Agreements permitted in this Agreement.</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The Company will not, nor will it permit any Subsidiary to, make or suffer to exist any Contingent Obligation (including, without limitation, any Contingent Obligation with respect to the obligations of a Subsidiary), except (i) by endorsement of instruments for deposit or collection in the ordinary course of business, (ii) the LC Reimbursement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(iii) the Existing Guarantees, (iv) bonds (i.e., bid, payment, performance) in form acceptable to the Administrative Agent and Required Lenders,</w:t>
      </w:r>
    </w:p>
    <w:p>
      <w:pPr>
        <w:spacing w:after="0" w:line="38" w:lineRule="exact"/>
        <w:rPr>
          <w:sz w:val="20"/>
          <w:szCs w:val="20"/>
          <w:color w:val="auto"/>
        </w:rPr>
      </w:pPr>
    </w:p>
    <w:p>
      <w:pPr>
        <w:ind w:right="400" w:firstLine="8"/>
        <w:spacing w:after="0" w:line="261"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performance as may be required under contractor licenses, (vi) the guaranty by the Company of Subsidiary obligations incurred in the ordinary course of business and (vii) Contingent Obligations under Swap Agreements that are not prohibited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Letters of Credit</w:t>
      </w:r>
      <w:r>
        <w:rPr>
          <w:rFonts w:ascii="Arial" w:cs="Arial" w:eastAsia="Arial" w:hAnsi="Arial"/>
          <w:sz w:val="18"/>
          <w:szCs w:val="18"/>
          <w:color w:val="auto"/>
        </w:rPr>
        <w:t>. The Company will not, nor will it permit any Subsidiary to, apply for or become liable upon or in respect of any Letter of Credit other than Facility LCs.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Senior Leverage Ratio</w:t>
      </w:r>
      <w:r>
        <w:rPr>
          <w:rFonts w:ascii="Arial" w:cs="Arial" w:eastAsia="Arial" w:hAnsi="Arial"/>
          <w:sz w:val="18"/>
          <w:szCs w:val="18"/>
          <w:color w:val="auto"/>
        </w:rPr>
        <w:t>. The Company will not permit its Senior Leverage Ratio, determined as of the end of each of its fiscal quarters, to exceed 2.50 to 1.00.</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Company will not permit the Fixed Charge Coverage Ratio, determined as of the end of each of its fiscal quarters, to be less than 1.25 to 1.00.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Employee Pension Benefit Plan; Canadian Pension Plans</w:t>
      </w:r>
      <w:r>
        <w:rPr>
          <w:rFonts w:ascii="Arial" w:cs="Arial" w:eastAsia="Arial" w:hAnsi="Arial"/>
          <w:sz w:val="18"/>
          <w:szCs w:val="18"/>
          <w:color w:val="auto"/>
        </w:rPr>
        <w:t>.</w:t>
      </w:r>
    </w:p>
    <w:p>
      <w:pPr>
        <w:spacing w:after="0" w:line="171" w:lineRule="exact"/>
        <w:rPr>
          <w:sz w:val="20"/>
          <w:szCs w:val="20"/>
          <w:color w:val="auto"/>
        </w:rPr>
      </w:pPr>
    </w:p>
    <w:p>
      <w:pPr>
        <w:jc w:val="both"/>
        <w:ind w:right="100" w:firstLine="464"/>
        <w:spacing w:after="0" w:line="256"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not (and shall not allow any Subsidiary to) adopt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which has established or maintained such plan, or is otherwise the employer in relation to it as described and defined in Section 3(5) of ERISA.</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not (and shall not allow any Subsidiary to) establish or maintain a Canadian Pension Plan.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171" w:lineRule="exact"/>
        <w:rPr>
          <w:sz w:val="20"/>
          <w:szCs w:val="20"/>
          <w:color w:val="auto"/>
        </w:rPr>
      </w:pPr>
    </w:p>
    <w:p>
      <w:pPr>
        <w:ind w:right="220" w:firstLine="464"/>
        <w:spacing w:after="0" w:line="268"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Borrowers shall fail to pay any principal of any Loan when and as the same shall become due and payable, whether at the due date thereof or at a date fixed for prepayment thereof or otherwise;</w:t>
      </w:r>
    </w:p>
    <w:p>
      <w:pPr>
        <w:spacing w:after="0" w:line="13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Borrowers shall fail to pay any interest on any Loan, any LC Reimbursement Obligations or any fee or any other amount (other than an amount referred to in clause (a) of this Article) payable under this Agreement, when and as the same shall become due and payable, and such failure shall continue unremedied for a period of three (3) Business Days;</w:t>
      </w:r>
    </w:p>
    <w:p>
      <w:pPr>
        <w:spacing w:after="0" w:line="140" w:lineRule="exact"/>
        <w:rPr>
          <w:rFonts w:ascii="Arial" w:cs="Arial" w:eastAsia="Arial" w:hAnsi="Arial"/>
          <w:sz w:val="18"/>
          <w:szCs w:val="18"/>
          <w:color w:val="auto"/>
        </w:rPr>
      </w:pPr>
    </w:p>
    <w:p>
      <w:pPr>
        <w:jc w:val="both"/>
        <w:ind w:firstLine="464"/>
        <w:spacing w:after="0" w:line="306"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the Company or any Subsidiary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when made or deemed made;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107" w:name="page108"/>
    <w:bookmarkEnd w:id="107"/>
    <w:p>
      <w:pPr>
        <w:ind w:left="-8" w:right="60" w:firstLine="464"/>
        <w:spacing w:after="0" w:line="268" w:lineRule="auto"/>
        <w:tabs>
          <w:tab w:leader="none" w:pos="697"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Borrowers shall fail to observe or perform any covenant, condition or agreement contained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(with respect to existence),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8" w:right="200" w:firstLine="464"/>
        <w:spacing w:after="0" w:line="305" w:lineRule="auto"/>
        <w:tabs>
          <w:tab w:leader="none" w:pos="687" w:val="left"/>
        </w:tabs>
        <w:numPr>
          <w:ilvl w:val="1"/>
          <w:numId w:val="111"/>
        </w:numPr>
        <w:rPr>
          <w:rFonts w:ascii="Arial" w:cs="Arial" w:eastAsia="Arial" w:hAnsi="Arial"/>
          <w:sz w:val="15"/>
          <w:szCs w:val="15"/>
          <w:color w:val="auto"/>
        </w:rPr>
      </w:pPr>
      <w:r>
        <w:rPr>
          <w:rFonts w:ascii="Arial" w:cs="Arial" w:eastAsia="Arial" w:hAnsi="Arial"/>
          <w:sz w:val="15"/>
          <w:szCs w:val="15"/>
          <w:color w:val="auto"/>
        </w:rPr>
        <w:t xml:space="preserve">the Borrowers shall fail to observe or perform any covenant, condition or agreement contained in this Agreement (other than those specified in clause (a), (b) or (d) of this Article), and such failure shall continue unremedied for a period of (x) ten (10) days in the case of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5.05(b)</w:t>
      </w:r>
      <w:r>
        <w:rPr>
          <w:rFonts w:ascii="Arial" w:cs="Arial" w:eastAsia="Arial" w:hAnsi="Arial"/>
          <w:sz w:val="15"/>
          <w:szCs w:val="15"/>
          <w:color w:val="auto"/>
        </w:rPr>
        <w:t xml:space="preserve"> and</w:t>
      </w:r>
    </w:p>
    <w:p>
      <w:pPr>
        <w:ind w:left="-8" w:right="80" w:firstLine="8"/>
        <w:spacing w:after="0" w:line="261" w:lineRule="auto"/>
        <w:tabs>
          <w:tab w:leader="none" w:pos="24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thirty (30) days in all other cases, in the case of (x) and (y) after the earlier of (i) notice thereof from the Administrative Agent to the Borrowers (which notice will be given at the request of any Lender) and (ii) the Company has actual knowledge of such failure;</w:t>
      </w:r>
    </w:p>
    <w:p>
      <w:pPr>
        <w:spacing w:after="0" w:line="137" w:lineRule="exact"/>
        <w:rPr>
          <w:rFonts w:ascii="Arial" w:cs="Arial" w:eastAsia="Arial" w:hAnsi="Arial"/>
          <w:sz w:val="18"/>
          <w:szCs w:val="18"/>
          <w:color w:val="auto"/>
        </w:rPr>
      </w:pPr>
    </w:p>
    <w:p>
      <w:pPr>
        <w:ind w:left="-8" w:right="320" w:firstLine="464"/>
        <w:spacing w:after="0" w:line="268" w:lineRule="auto"/>
        <w:tabs>
          <w:tab w:leader="none" w:pos="66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when and as the same shall become due and payable;</w:t>
      </w:r>
    </w:p>
    <w:p>
      <w:pPr>
        <w:spacing w:after="0" w:line="131" w:lineRule="exact"/>
        <w:rPr>
          <w:rFonts w:ascii="Arial" w:cs="Arial" w:eastAsia="Arial" w:hAnsi="Arial"/>
          <w:sz w:val="18"/>
          <w:szCs w:val="18"/>
          <w:color w:val="auto"/>
        </w:rPr>
      </w:pPr>
    </w:p>
    <w:p>
      <w:pPr>
        <w:ind w:left="-8" w:right="20" w:firstLine="464"/>
        <w:spacing w:after="0" w:line="255" w:lineRule="auto"/>
        <w:tabs>
          <w:tab w:leader="none" w:pos="69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142" w:lineRule="exact"/>
        <w:rPr>
          <w:rFonts w:ascii="Arial" w:cs="Arial" w:eastAsia="Arial" w:hAnsi="Arial"/>
          <w:sz w:val="18"/>
          <w:szCs w:val="18"/>
          <w:color w:val="auto"/>
        </w:rPr>
      </w:pPr>
    </w:p>
    <w:p>
      <w:pPr>
        <w:ind w:left="-8" w:right="100" w:firstLine="464"/>
        <w:spacing w:after="0" w:line="254" w:lineRule="auto"/>
        <w:tabs>
          <w:tab w:leader="none" w:pos="69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or application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interim receiver, receiver and manager, trustee, custodian, sequestrator, conservator or similar official for the Company or any Subsidiary or for a Substantial Portion of the assets of the Company and its Subsidiaries, and, in any such case, such proceeding, petition or application shall continue undismissed for thirty (30) days or an order or decree approving or ordering any of the foregoing shall be entered;</w:t>
      </w:r>
    </w:p>
    <w:p>
      <w:pPr>
        <w:spacing w:after="0" w:line="144" w:lineRule="exact"/>
        <w:rPr>
          <w:rFonts w:ascii="Arial" w:cs="Arial" w:eastAsia="Arial" w:hAnsi="Arial"/>
          <w:sz w:val="18"/>
          <w:szCs w:val="18"/>
          <w:color w:val="auto"/>
        </w:rPr>
      </w:pPr>
    </w:p>
    <w:p>
      <w:pPr>
        <w:jc w:val="both"/>
        <w:ind w:left="-8" w:right="320" w:firstLine="464"/>
        <w:spacing w:after="0" w:line="286" w:lineRule="auto"/>
        <w:tabs>
          <w:tab w:leader="none" w:pos="65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or any Subsidiary shall (i) voluntarily commence any proceeding or file any petition or application seeking liquidation, reorganization, arrangement with its creditors or other relief under any Federal, state or foreign bankruptcy, insolvency, receivership or similar law now or hereafter in effect,</w:t>
      </w:r>
    </w:p>
    <w:p>
      <w:pPr>
        <w:ind w:left="252" w:hanging="252"/>
        <w:spacing w:after="0"/>
        <w:tabs>
          <w:tab w:leader="none" w:pos="2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consent to the institution of, or fail to contest in a timely and appropriate manner, any proceeding, petition or application described in clause (h) of this Article,</w:t>
      </w:r>
    </w:p>
    <w:p>
      <w:pPr>
        <w:spacing w:after="0" w:line="32" w:lineRule="exact"/>
        <w:rPr>
          <w:rFonts w:ascii="Arial" w:cs="Arial" w:eastAsia="Arial" w:hAnsi="Arial"/>
          <w:sz w:val="16"/>
          <w:szCs w:val="16"/>
          <w:color w:val="auto"/>
        </w:rPr>
      </w:pPr>
    </w:p>
    <w:p>
      <w:pPr>
        <w:ind w:left="-8" w:right="60" w:firstLine="8"/>
        <w:spacing w:after="0" w:line="254" w:lineRule="auto"/>
        <w:tabs>
          <w:tab w:leader="none" w:pos="2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interim receiver, receiver and manager, trustee, custodian, sequestrator, conservator or similar official for the Company or any Subsidiary or for a Substantial Portion of the property of the Company and its Subsidiaries, (iv) file an answer admitting the material allegations of a petition or application filed against it in any such proceeding, (v) make a general assignment for the benefit of creditors or (vi) take any action for the purpose of effecting any of the foregoing;</w:t>
      </w:r>
    </w:p>
    <w:p>
      <w:pPr>
        <w:spacing w:after="0" w:line="143" w:lineRule="exact"/>
        <w:rPr>
          <w:rFonts w:ascii="Arial" w:cs="Arial" w:eastAsia="Arial" w:hAnsi="Arial"/>
          <w:sz w:val="18"/>
          <w:szCs w:val="18"/>
          <w:color w:val="auto"/>
        </w:rPr>
      </w:pPr>
    </w:p>
    <w:p>
      <w:pPr>
        <w:ind w:left="672" w:hanging="216"/>
        <w:spacing w:after="0"/>
        <w:tabs>
          <w:tab w:leader="none" w:pos="6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or any Subsidiary shall become unable, admit in writing its inability or fail generally to pay its debts as they become due;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12"/>
          </w:cols>
          <w:pgMar w:left="248" w:top="280" w:right="239" w:bottom="1440" w:gutter="0" w:footer="0" w:header="0"/>
        </w:sectPr>
      </w:pPr>
    </w:p>
    <w:bookmarkStart w:id="108" w:name="page109"/>
    <w:bookmarkEnd w:id="108"/>
    <w:p>
      <w:pPr>
        <w:ind w:right="100" w:firstLine="464"/>
        <w:spacing w:after="0" w:line="294"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one or more judgments or orders shall be rendered against the Company, any Subsidiary or any combination thereof that shall remain undischarged for a period of thirty (30) consecutive days during which execution shall not be effectively stayed, either (1) for the payment of money in an aggregate amount in excess of $2,000,000.00 (or the Equivalent Amount in currencies other than US Dollars) in excess of insurance coverage or (2) for nonmonetary relief which could reasonably be expected to have a Material Adverse Effect, or (ii) any action shall be legally taken by a judgment creditor to attach or levy upon any assets of the Company or any Subsidiary to enforce any such judgment or order;</w:t>
      </w:r>
    </w:p>
    <w:p>
      <w:pPr>
        <w:spacing w:after="0" w:line="115" w:lineRule="exact"/>
        <w:rPr>
          <w:rFonts w:ascii="Arial" w:cs="Arial" w:eastAsia="Arial" w:hAnsi="Arial"/>
          <w:sz w:val="16"/>
          <w:szCs w:val="16"/>
          <w:color w:val="auto"/>
        </w:rPr>
      </w:pPr>
    </w:p>
    <w:p>
      <w:pPr>
        <w:ind w:right="100" w:firstLine="464"/>
        <w:spacing w:after="0" w:line="268" w:lineRule="auto"/>
        <w:tabs>
          <w:tab w:leader="none" w:pos="6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right="160" w:firstLine="464"/>
        <w:spacing w:after="0" w:line="298" w:lineRule="auto"/>
        <w:tabs>
          <w:tab w:leader="none" w:pos="75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or any other member of the Controlled Group shall have been notified by the sponsor of a Multiemployer Plan that it has incurred withdrawal liability to such Multiemployer Plan in an amount which, when aggregated with all other amounts required to be paid to Multiemployer Plans by the Company or any other member of the Controlled Group has withdrawal liability (determined as of the date of such notification), exceeds $2,000,000.00 or requires payments exceeding $1,000,000.00 per annum, and such liability has not been fully satisfied within forty-five (45) days of receipt of such notification;</w:t>
      </w:r>
    </w:p>
    <w:p>
      <w:pPr>
        <w:spacing w:after="0" w:line="112" w:lineRule="exact"/>
        <w:rPr>
          <w:rFonts w:ascii="Arial" w:cs="Arial" w:eastAsia="Arial" w:hAnsi="Arial"/>
          <w:sz w:val="16"/>
          <w:szCs w:val="16"/>
          <w:color w:val="auto"/>
        </w:rPr>
      </w:pPr>
    </w:p>
    <w:p>
      <w:pPr>
        <w:ind w:right="60" w:firstLine="464"/>
        <w:spacing w:after="0" w:line="291"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or any other member of the Controlled Group shall have been notified by the sponsor of a Multiemployer Plan that such Multiemployer Plan is in reorganization or is being terminated, within the meaning of Title IV of ERISA, if as a result of such reorganization or termination the aggregate annual contributions of the Company and the other members of the Controlled Group (taken as a whole) to all Multiemployer Plans which are then in reorganization or being terminated have been or will be increased over the amounts contributed to such Multiemployer Plans for the respective plan years of each such Multiemployer Plan immediately preceding the plan year in which the reorganization or termination occurs by an amount exceeding $2,000,000.00, and such liability has not been fully satisfied within forty-five (45) days of receipt of such notification;</w:t>
      </w:r>
    </w:p>
    <w:p>
      <w:pPr>
        <w:spacing w:after="0" w:line="120" w:lineRule="exact"/>
        <w:rPr>
          <w:rFonts w:ascii="Arial" w:cs="Arial" w:eastAsia="Arial" w:hAnsi="Arial"/>
          <w:sz w:val="16"/>
          <w:szCs w:val="16"/>
          <w:color w:val="auto"/>
        </w:rPr>
      </w:pPr>
    </w:p>
    <w:p>
      <w:pPr>
        <w:ind w:right="620" w:firstLine="464"/>
        <w:spacing w:after="0" w:line="332"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Nonpayment by the Company or any Subsidiary of any obligation under any Swap Agreement when due or the breach by the Company or any Subsidiary of any term, provision or condition contained in any Swap Agreement, whether or not any Lender or Affiliate of any Lender is a party thereto;</w:t>
      </w:r>
    </w:p>
    <w:p>
      <w:pPr>
        <w:spacing w:after="0" w:line="85" w:lineRule="exact"/>
        <w:rPr>
          <w:rFonts w:ascii="Arial" w:cs="Arial" w:eastAsia="Arial" w:hAnsi="Arial"/>
          <w:sz w:val="16"/>
          <w:szCs w:val="16"/>
          <w:color w:val="auto"/>
        </w:rPr>
      </w:pPr>
    </w:p>
    <w:p>
      <w:pPr>
        <w:ind w:firstLine="464"/>
        <w:spacing w:after="0" w:line="256"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or any of its Subsidiaries shall (i) be the subject of any proceeding or investigation pertaining to the release by the Company, any of its Subsidiaries or any other Person of any Hazardous Materials into the environment which results in remediation liability in excess of $2,000,000.00 not covered by insurance or indemnified by any third party, or (ii) violate any Environmental Law, which, in the case of an event described in clause (i) or clause (ii), could reasonably be expected to have a Material Adverse Effect;</w:t>
      </w:r>
    </w:p>
    <w:p>
      <w:pPr>
        <w:spacing w:after="0" w:line="143" w:lineRule="exact"/>
        <w:rPr>
          <w:rFonts w:ascii="Arial" w:cs="Arial" w:eastAsia="Arial" w:hAnsi="Arial"/>
          <w:sz w:val="18"/>
          <w:szCs w:val="18"/>
          <w:color w:val="auto"/>
        </w:rPr>
      </w:pPr>
    </w:p>
    <w:p>
      <w:pPr>
        <w:ind w:right="340" w:firstLine="464"/>
        <w:spacing w:after="0" w:line="332"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occurrence of any “default” under any Loan Document (other than this Agreement) or the breach of any of the terms or provisions of any Loan Document (other than this Agreement), which default or breach continues beyond any period of grace therein provided;</w:t>
      </w:r>
    </w:p>
    <w:p>
      <w:pPr>
        <w:spacing w:after="0" w:line="85" w:lineRule="exact"/>
        <w:rPr>
          <w:rFonts w:ascii="Arial" w:cs="Arial" w:eastAsia="Arial" w:hAnsi="Arial"/>
          <w:sz w:val="16"/>
          <w:szCs w:val="16"/>
          <w:color w:val="auto"/>
        </w:rPr>
      </w:pPr>
    </w:p>
    <w:p>
      <w:pPr>
        <w:ind w:right="200" w:firstLine="464"/>
        <w:spacing w:after="0" w:line="268" w:lineRule="auto"/>
        <w:tabs>
          <w:tab w:leader="none" w:pos="67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Except as a result of actions taken which are mergers, consolidations, liquidations, dispositions or dissolutions that are not prohibited by </w:t>
      </w:r>
      <w:r>
        <w:rPr>
          <w:rFonts w:ascii="Arial" w:cs="Arial" w:eastAsia="Arial" w:hAnsi="Arial"/>
          <w:sz w:val="18"/>
          <w:szCs w:val="18"/>
          <w:u w:val="single" w:color="auto"/>
          <w:color w:val="auto"/>
        </w:rPr>
        <w:t>Section 6.03</w:t>
      </w:r>
      <w:r>
        <w:rPr>
          <w:rFonts w:ascii="Arial" w:cs="Arial" w:eastAsia="Arial" w:hAnsi="Arial"/>
          <w:sz w:val="18"/>
          <w:szCs w:val="18"/>
          <w:color w:val="auto"/>
        </w:rPr>
        <w:t>, any Subsidiary Guaranty shall fail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09" w:name="page110"/>
    <w:bookmarkEnd w:id="109"/>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remain in full force or effect or any action shall be taken to discontinue, terminate, or to assert the invalidity or unenforceability of any such Subsidiary Guaranty, or any Guarantor shall fail to comply with any of the terms or provisions of any such Subsidiary Guaranty to which it is a party, or any Guarantor shall deny that it has any further liability under any such Subsidiary Guaranty to which it is a party, or shall give notice to such effect;</w:t>
      </w:r>
    </w:p>
    <w:p>
      <w:pPr>
        <w:spacing w:after="0" w:line="107" w:lineRule="exact"/>
        <w:rPr>
          <w:sz w:val="20"/>
          <w:szCs w:val="20"/>
          <w:color w:val="auto"/>
        </w:rPr>
      </w:pPr>
    </w:p>
    <w:p>
      <w:pPr>
        <w:ind w:right="40" w:firstLine="464"/>
        <w:spacing w:after="0" w:line="291" w:lineRule="auto"/>
        <w:tabs>
          <w:tab w:leader="none" w:pos="68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Collateral Document shall for any reason fail to create a valid and perfected first priority security interest in any Collateral purported to be covered thereby, except as to equipment which has become obsolete or which is otherwise permitted to become released under the terms of any Collateral Document; or any Collateral Document shall fail to remain in full force or effect or any action shall be taken to discontinue or to assert the invalidity or unenforceability of any Collateral Document, or any Credit Party shall fail to comply with any term or provision of any Collateral Document that relates to the perfection of a security interest and such failure is not cured within thirty (30) days after the earlier of (1) Administrative Agent or any Lender provides the Company notice of such failure or (2) the Company becomes aware of such failure;</w:t>
      </w:r>
    </w:p>
    <w:p>
      <w:pPr>
        <w:spacing w:after="0" w:line="120" w:lineRule="exact"/>
        <w:rPr>
          <w:rFonts w:ascii="Arial" w:cs="Arial" w:eastAsia="Arial" w:hAnsi="Arial"/>
          <w:sz w:val="16"/>
          <w:szCs w:val="16"/>
          <w:color w:val="auto"/>
        </w:rPr>
      </w:pPr>
    </w:p>
    <w:p>
      <w:pPr>
        <w:ind w:firstLine="464"/>
        <w:spacing w:after="0" w:line="332" w:lineRule="auto"/>
        <w:tabs>
          <w:tab w:leader="none" w:pos="66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or any Subsidiary shall fail to pay when due any obligation with respect to a Letter of Credit (other than a Facility LC), obligation under a Sale and Leaseback Transaction or Contingent Obligation, which could reasonably be expected to have a Material Adverse Effect;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Company or any Subsidiary (other than the entities described on </w:t>
      </w:r>
      <w:r>
        <w:rPr>
          <w:rFonts w:ascii="Arial" w:cs="Arial" w:eastAsia="Arial" w:hAnsi="Arial"/>
          <w:sz w:val="16"/>
          <w:szCs w:val="16"/>
          <w:u w:val="single" w:color="auto"/>
          <w:color w:val="auto"/>
        </w:rPr>
        <w:t>Schedule 7(u))</w:t>
      </w:r>
      <w:r>
        <w:rPr>
          <w:rFonts w:ascii="Arial" w:cs="Arial" w:eastAsia="Arial" w:hAnsi="Arial"/>
          <w:sz w:val="16"/>
          <w:szCs w:val="16"/>
          <w:color w:val="auto"/>
        </w:rPr>
        <w:t xml:space="preserve"> shall discontinue its business, except as permitted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hereof;</w:t>
      </w:r>
    </w:p>
    <w:p>
      <w:pPr>
        <w:spacing w:after="0" w:line="165" w:lineRule="exact"/>
        <w:rPr>
          <w:sz w:val="20"/>
          <w:szCs w:val="20"/>
          <w:color w:val="auto"/>
        </w:rPr>
      </w:pPr>
    </w:p>
    <w:p>
      <w:pPr>
        <w:ind w:right="40" w:firstLine="464"/>
        <w:spacing w:after="0" w:line="256"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Company or any Subsidiary (other than the entities set forth on </w:t>
      </w:r>
      <w:r>
        <w:rPr>
          <w:rFonts w:ascii="Arial" w:cs="Arial" w:eastAsia="Arial" w:hAnsi="Arial"/>
          <w:sz w:val="18"/>
          <w:szCs w:val="18"/>
          <w:u w:val="single" w:color="auto"/>
          <w:color w:val="auto"/>
        </w:rPr>
        <w:t>Schedule 7(v))</w:t>
      </w:r>
      <w:r>
        <w:rPr>
          <w:rFonts w:ascii="Arial" w:cs="Arial" w:eastAsia="Arial" w:hAnsi="Arial"/>
          <w:sz w:val="18"/>
          <w:szCs w:val="18"/>
          <w:color w:val="auto"/>
        </w:rPr>
        <w:t xml:space="preserve"> shall fail to maintain, or if any action, suit, proceeding or investigation shall be commenced seeking to cancel, terminate, or alter, any permit (i) which is necessary for it to carry on its business now being conducted or as contemplated to be conducted, (ii) which is necessary for it to own and operate its properties, and which, in the case of an event described in clause (i) or clause (ii), could reasonably be expected to have a Material Adverse Effect; or</w:t>
      </w:r>
    </w:p>
    <w:p>
      <w:pPr>
        <w:spacing w:after="0" w:line="143" w:lineRule="exact"/>
        <w:rPr>
          <w:rFonts w:ascii="Arial" w:cs="Arial" w:eastAsia="Arial" w:hAnsi="Arial"/>
          <w:sz w:val="18"/>
          <w:szCs w:val="18"/>
          <w:color w:val="auto"/>
        </w:rPr>
      </w:pPr>
    </w:p>
    <w:p>
      <w:pPr>
        <w:ind w:left="760" w:hanging="296"/>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then, and in every such event (other than an event with respect to a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Revolving Loan Commitments, and thereupon the Revolving Loan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Revolving Loan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16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Appointment</w:t>
      </w:r>
      <w:r>
        <w:rPr>
          <w:rFonts w:ascii="Arial" w:cs="Arial" w:eastAsia="Arial" w:hAnsi="Arial"/>
          <w:sz w:val="18"/>
          <w:szCs w:val="18"/>
          <w:color w:val="auto"/>
        </w:rPr>
        <w:t>. Each of the Lenders and the Issuing Bank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Administrative Agent and Lender</w:t>
      </w:r>
      <w:r>
        <w:rPr>
          <w:rFonts w:ascii="Arial" w:cs="Arial" w:eastAsia="Arial" w:hAnsi="Arial"/>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Collateral; Required Lenders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89" w:lineRule="auto"/>
        <w:tabs>
          <w:tab w:leader="none" w:pos="69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Each Lender hereby irrevocably ratifies and accepts the Collateral Documents in effect as of the Closing Date and authorizes and directs Administrative Agent to enter into all additional Collateral Documents for the benefit of such Lender. Each Lender hereby agrees, and each holder of any Note by the acceptance thereof will be deemed to agree, that, except as otherwise set forth in </w:t>
      </w:r>
      <w:r>
        <w:rPr>
          <w:rFonts w:ascii="Arial" w:cs="Arial" w:eastAsia="Arial" w:hAnsi="Arial"/>
          <w:sz w:val="16"/>
          <w:szCs w:val="16"/>
          <w:u w:val="single" w:color="auto"/>
          <w:color w:val="auto"/>
        </w:rPr>
        <w:t>Section 9.02(b)</w:t>
      </w:r>
      <w:r>
        <w:rPr>
          <w:rFonts w:ascii="Arial" w:cs="Arial" w:eastAsia="Arial" w:hAnsi="Arial"/>
          <w:sz w:val="16"/>
          <w:szCs w:val="16"/>
          <w:color w:val="auto"/>
        </w:rPr>
        <w:t>,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the Lenders. Administrative Agent is hereby authorized on behalf of all of the Lenders, without the necessity of any notice to or further consent from any Lender from time to time prior to an Event of Default, to take any action with respect to any Collateral or Collateral Documents which may be necessary to perfect and maintain perfected the Liens upon the Collateral granted pursuant to the Collateral Documents.</w:t>
      </w:r>
    </w:p>
    <w:p>
      <w:pPr>
        <w:spacing w:after="0" w:line="118" w:lineRule="exact"/>
        <w:rPr>
          <w:rFonts w:ascii="Arial" w:cs="Arial" w:eastAsia="Arial" w:hAnsi="Arial"/>
          <w:sz w:val="16"/>
          <w:szCs w:val="16"/>
          <w:color w:val="auto"/>
        </w:rPr>
      </w:pPr>
    </w:p>
    <w:p>
      <w:pPr>
        <w:ind w:firstLine="464"/>
        <w:spacing w:after="0" w:line="282" w:lineRule="auto"/>
        <w:tabs>
          <w:tab w:leader="none" w:pos="70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Each Lender hereby irrevocably authorizes Administrative Agent, at its option and in its discretion, (i) to release any Lien on any property granted to or held by Administrative Agent under any Loan Document (A) upon termination of the Revolving Loan Commitments and payment in full of all Obligations (other than contingent indemnification obligations) and the expiration or termination of all Facility LCs, (B) that is sold or to be sold as part of or in connection with any sale permitted hereunder or under any other Loan Document, (C) subject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if approved, authorized or ratified in writing by the Required Lenders, or (D) in connection with any foreclosure sale or other disposition of Collateral after the occurrence of an Event of Default; and (ii) to subordinate any Lien on any property granted to or held by Administrative Agent under any Loan Document to the holder of any Lien on such property that is permitted by this Agreement or any other Loan Document. Upon request by Administrative Agent at any time, each Lender will confirm in writing Administrative Agent’s authority to release or subordinate its interest in particular types or items of Collateral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Subject to the foregoing, Administrative Agent shall (and is hereby irrevocably authorized by each Lender, to) execute such documents as may be necessary to evidence the release or subordination of the Liens granted to Administrative Agent for the benefit of Administrative Agent and the Lenders herein or pursuant hereto upon the applicable Collateral; provided that</w:t>
      </w:r>
    </w:p>
    <w:p>
      <w:pPr>
        <w:spacing w:after="0" w:line="5" w:lineRule="exact"/>
        <w:rPr>
          <w:rFonts w:ascii="Arial" w:cs="Arial" w:eastAsia="Arial" w:hAnsi="Arial"/>
          <w:sz w:val="16"/>
          <w:szCs w:val="16"/>
          <w:color w:val="auto"/>
        </w:rPr>
      </w:pPr>
    </w:p>
    <w:p>
      <w:pPr>
        <w:ind w:right="280" w:firstLine="8"/>
        <w:spacing w:after="0" w:line="323" w:lineRule="auto"/>
        <w:tabs>
          <w:tab w:leader="none" w:pos="2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Administrative Agent shall not be required to execute any such document on terms which, in Administrative Agent’s opinion, would expose Administrative Agent to or create any liability or entail any consequence other than the release or subordination of such Liens without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11" w:name="page112"/>
    <w:bookmarkEnd w:id="1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recourse or warranty and (ii) such release or subordination shall not in any manner discharge, affect or impair the Obligations or any Liens upon (or obligations of the Borrowers or any other Credit Party in respect of) all interests retained by the Borrowers or any other Credit Party, including the proceeds of the sale, all of which shall continue to constitute part of the Collateral. In the event of any sale or transfer of Collateral, or any foreclosure with respect to any of the Collateral, Administrative Agent shall be authorized to deduct all expenses reasonably incurred by Administrative Agent from the proceeds of any such sale, transfer or foreclosure.</w:t>
      </w:r>
    </w:p>
    <w:p>
      <w:pPr>
        <w:spacing w:after="0" w:line="143" w:lineRule="exact"/>
        <w:rPr>
          <w:sz w:val="20"/>
          <w:szCs w:val="20"/>
          <w:color w:val="auto"/>
        </w:rPr>
      </w:pPr>
    </w:p>
    <w:p>
      <w:pPr>
        <w:ind w:right="200" w:firstLine="464"/>
        <w:spacing w:after="0" w:line="253"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Administrative Agent shall have no obligation whatsoever to any Lender or any other Person to assure that the Collateral exists or is owned by the Borrowers or any other Credit Party or is cared for, protected or insured or that the Liens granted to Administrative Agent herein or in any of the Collateral Documents or pursuant hereto or thereto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Administrative Agent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in any of the Collateral Documents, it being understood and agreed that in respect of the Collateral, or any act, omission or event related thereto, Administrative Agent may act in any manner it may deem appropriate, in its sole discretion, given Administrative Agent’s own interest in the Collateral as one of the Lenders and that Administrative Agent shall have no duty or liability whatsoever to the Lenders.</w:t>
      </w:r>
    </w:p>
    <w:p>
      <w:pPr>
        <w:spacing w:after="0" w:line="145"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Lender hereby appoints each other Lender as agent for the purpose of perfecting the Lenders’ security interest in assets which, in accordance with Article 9 of the UCC can be perfected only by possession. Should any Lender (other than Administrative Agent) obtain possession of any such Collateral, such Lender shall notify Administrative Agent thereof, and, promptly upon Administrative Agent’s request therefor shall deliver such Collateral to Administrative Agent or in accordance with Administrative Agent’s instructions.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u w:val="single" w:color="auto"/>
          <w:color w:val="auto"/>
        </w:rPr>
        <w:t>Duties</w:t>
      </w:r>
      <w:r>
        <w:rPr>
          <w:rFonts w:ascii="Arial" w:cs="Arial" w:eastAsia="Arial" w:hAnsi="Arial"/>
          <w:sz w:val="15"/>
          <w:szCs w:val="15"/>
          <w:color w:val="auto"/>
        </w:rPr>
        <w:t xml:space="preserve">. The Administrative Agent shall not have any duties or obligations except those expressly set forth herein. Without limiting the generality of the foregoing, (a) the Administrative Agent shall not be subject to any fiduciary or other implied duties, regardless of whether a Default or Event of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and (c) except as expressly set forth herein,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or in the absence of its own gross negligence or willful misconduct. The Administrative Agent shall be deemed not to have knowledge of any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112" w:name="page113"/>
    <w:bookmarkEnd w:id="11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herein, (iv) the validity, enforceability, effectiveness or genuineness of this Agreement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Communications; Counsel</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44"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Subject to the appointment and acceptance of a successor Administrative Agent as provided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the Administrative Agent may resign at any time by notifying the Lenders, the Issuing Bank and the Company. Upon any such resignation, the Required Lenders shall have the right, in consultation with the Company,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Tulsa, Oklahoma,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Lenders’ Reliance; Decisions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taking or not taking action under or based upon this Agreement, any related agreement or any document furnished hereunder or thereunder.</w:t>
      </w:r>
    </w:p>
    <w:p>
      <w:pPr>
        <w:spacing w:after="0" w:line="3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1" w:lineRule="exact"/>
        <w:rPr>
          <w:sz w:val="20"/>
          <w:szCs w:val="20"/>
          <w:color w:val="auto"/>
        </w:rPr>
      </w:pPr>
    </w:p>
    <w:p>
      <w:pPr>
        <w:jc w:val="both"/>
        <w:ind w:right="260" w:firstLine="464"/>
        <w:spacing w:after="0" w:line="306"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Except in the case of notices and other communications expressly permitted to be given by telephone or by electronic communication (and subject to paragraph (b) below), all notices and other communications provided for herein shall be in writing and shall be delivered by hand or overnight courier service, mailed by certified or registered mail or sent by telecopy, as provided in the signature pages hereto.</w:t>
      </w:r>
    </w:p>
    <w:p>
      <w:pPr>
        <w:spacing w:after="0" w:line="106"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Administrative Agent hereunder may be delivered or furnished by electronic communications (e.g. E-Mail); provided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w:t>
      </w:r>
    </w:p>
    <w:p>
      <w:pPr>
        <w:spacing w:after="0" w:line="140" w:lineRule="exact"/>
        <w:rPr>
          <w:rFonts w:ascii="Arial" w:cs="Arial" w:eastAsia="Arial" w:hAnsi="Arial"/>
          <w:sz w:val="18"/>
          <w:szCs w:val="18"/>
          <w:color w:val="auto"/>
        </w:rPr>
      </w:pPr>
    </w:p>
    <w:p>
      <w:pPr>
        <w:jc w:val="both"/>
        <w:ind w:right="140" w:firstLine="464"/>
        <w:spacing w:after="0" w:line="306"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or with respect to notices or communications given by electronic communications, on the date of transmission.</w:t>
      </w:r>
    </w:p>
    <w:p>
      <w:pPr>
        <w:spacing w:after="0" w:line="106" w:lineRule="exact"/>
        <w:rPr>
          <w:rFonts w:ascii="Arial" w:cs="Arial" w:eastAsia="Arial" w:hAnsi="Arial"/>
          <w:sz w:val="16"/>
          <w:szCs w:val="16"/>
          <w:color w:val="auto"/>
        </w:rPr>
      </w:pPr>
    </w:p>
    <w:p>
      <w:pPr>
        <w:ind w:firstLine="464"/>
        <w:spacing w:after="0" w:line="290" w:lineRule="auto"/>
        <w:tabs>
          <w:tab w:leader="none" w:pos="7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Designating Lender shall serve as the administrative agent of its Designated Lender and shall on behalf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on behalf of the Designated Lender and need not be signed by the Designated Lender on its own behalf. The Borrowers, the Administrative Agent and the Lenders may rely thereon without any requirement that the Designated Lender sign or acknowledge the same. The Designated Lender may not assign or transfer all or any portion of its interest hereunder or under any other Loan Document, other than in conjunction with an assignment by its Designating Lender in accordance with the provisions of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91"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 failure or delay by the Administrative Agent, the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are cumulative and are not exclusive of any rights or remedies that they would otherwise have. No waiver of any provision of this Agreement or consent to any departure by the Borrowers therefrom shall in any event be effective unless the same shall be permitted by paragraph (b) of this Section, and then such waiver or consent shall be effective only in the specific instance and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14" w:name="page115"/>
    <w:bookmarkEnd w:id="114"/>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for which given. Without limiting the generality of the foregoing, the making of a Loan or issuance of a Facility LC shall not be construed as a waiver of any Default, regardless of whether the Administrative Agent, any Lender or the Issuing Bank may have had notice or knowledge of such Default at the time.</w:t>
      </w:r>
    </w:p>
    <w:p>
      <w:pPr>
        <w:spacing w:after="0" w:line="85" w:lineRule="exact"/>
        <w:rPr>
          <w:sz w:val="20"/>
          <w:szCs w:val="20"/>
          <w:color w:val="auto"/>
        </w:rPr>
      </w:pPr>
    </w:p>
    <w:p>
      <w:pPr>
        <w:ind w:firstLine="464"/>
        <w:spacing w:after="0" w:line="282" w:lineRule="auto"/>
        <w:tabs>
          <w:tab w:leader="none" w:pos="70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agreement shall (A) increase the Revolving Loan Commitment of any Lender without the written consent of such Lender, (B) reduce the principal amount of any Loan or LC Disbursement or reduce the rate of interest thereon, or reduce any fees payable hereunder, without the written consent of each Lender affected thereby, (C) postpone the scheduled date of payment of the principal amount of any Loan or LC Disbursement, or any interest thereon, or any fees payable hereunder, or reduce the amount of, waive or excuse any such payment, or postpone the scheduled date of expiration of any Revolving Loan Commitment, without the written consent of each Lender affected thereby, (D) change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 a manner that would alter the sharing of payments required thereby, without the written consent of each Lender, (E) change any of the provisions of this Section or the definition of “Required Lenders” or any other provision hereof specifying the number or percentage of the Lenders required to waive, amend or modify any rights hereunder or make any determination or grant any consent hereunder, or (F) release any Guarantor from any Subsidiary Guaranty or release the Liens on a Substantial Portion of the Collateral except in accordance with the terms of any Loan Document, without the written consent of each Lender and (ii) and no such agreement shall change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w:t>
      </w:r>
    </w:p>
    <w:p>
      <w:pPr>
        <w:spacing w:after="0" w:line="5" w:lineRule="exact"/>
        <w:rPr>
          <w:rFonts w:ascii="Arial" w:cs="Arial" w:eastAsia="Arial" w:hAnsi="Arial"/>
          <w:sz w:val="16"/>
          <w:szCs w:val="16"/>
          <w:color w:val="auto"/>
        </w:rPr>
      </w:pPr>
    </w:p>
    <w:p>
      <w:pPr>
        <w:ind w:right="440" w:firstLine="8"/>
        <w:spacing w:after="0" w:line="323" w:lineRule="auto"/>
        <w:tabs>
          <w:tab w:leader="none" w:pos="239" w:val="left"/>
        </w:tabs>
        <w:numPr>
          <w:ilvl w:val="0"/>
          <w:numId w:val="12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8"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Borrowers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this Agreement or any amendments, modifications or waivers of the provisions hereof (whether or not the transactions contemplated hereby or thereby shall be consummated), (ii) all reasonable out-of-pocket expenses incurred by the Issuing Bank in connection with the issuance, amendment, renewal or extension of any Facility LC or any demand for payment thereunder and (iii) all out-of-pocket expenses incurred by the Administrative Agent, the Issuing Bank or any Lender, including the fees, charges and disbursements of any counsel for the Administrative Agent, the Issuing Bank or any Lender, in connection with the enforcement or protection of its rights in connection with this Agreement, including its rights under this Section, or in connection with the Loans made or Facility LCs issued hereunder, including all such out-of-pocket expenses incurred during any workout, restructuring or negotiations in respect of such Loans or Facility LCs.</w:t>
      </w:r>
    </w:p>
    <w:p>
      <w:pPr>
        <w:spacing w:after="0" w:line="119"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Borrowers shall indemnify the Administrative Agent, the Issuing Bank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115" w:name="page116"/>
    <w:bookmarkEnd w:id="115"/>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Facility LC or the use of the proceeds therefrom (including any refusal by the Issuing Bank to honor a demand for payment under a Facility LC if the documents presented in connection with such demand do not strictly comply with the terms of such Facility LC),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20" w:lineRule="exact"/>
        <w:rPr>
          <w:sz w:val="20"/>
          <w:szCs w:val="20"/>
          <w:color w:val="auto"/>
        </w:rPr>
      </w:pPr>
    </w:p>
    <w:p>
      <w:pPr>
        <w:ind w:right="60" w:firstLine="464"/>
        <w:spacing w:after="0" w:line="294" w:lineRule="auto"/>
        <w:tabs>
          <w:tab w:leader="none" w:pos="69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To the extent that the Borrowers fail to pay any amount required to be paid to the Administrative Agent, the Issuing Bank or the Swingline Lender under paragraph (a) or (b) of this Section, each Lender severally agrees to pay to the Administrative Agent, the Issuing Bank or the Swingline Lender, as the case may be, such Lender’s Applicable Revolving Loan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15" w:lineRule="exact"/>
        <w:rPr>
          <w:rFonts w:ascii="Arial" w:cs="Arial" w:eastAsia="Arial" w:hAnsi="Arial"/>
          <w:sz w:val="16"/>
          <w:szCs w:val="16"/>
          <w:color w:val="auto"/>
        </w:rPr>
      </w:pPr>
    </w:p>
    <w:p>
      <w:pPr>
        <w:ind w:right="120" w:firstLine="464"/>
        <w:spacing w:after="0" w:line="306" w:lineRule="auto"/>
        <w:tabs>
          <w:tab w:leader="none" w:pos="70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extent permitted by applicable law, the Borrowers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Facility LC or the use of the proceeds thereof.</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five (5) days after written demand therefor.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(including any Affiliate of the Issuing Bank that issues any Facility LC), except that (i) the Borrowers may not assign or otherwise transfer any of their respective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Facility LC),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16" w:name="page117"/>
    <w:bookmarkEnd w:id="116"/>
    <w:p>
      <w:pPr>
        <w:ind w:left="-20" w:right="420" w:firstLine="464"/>
        <w:spacing w:after="0" w:line="259"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Subject to the conditions set forth in paragraph (b)(ii) below, any Lender may assign to one or more assignees all or a portion of its rights and obligations under this Agreement (including all or a portion of its Revolving Loan Commitment (if any) and the Loans at the time owing to it) with the prior written consent (such consent not to be unreasonably withheld) of:</w:t>
      </w:r>
    </w:p>
    <w:p>
      <w:pPr>
        <w:spacing w:after="0" w:line="59" w:lineRule="exact"/>
        <w:rPr>
          <w:rFonts w:ascii="Arial" w:cs="Arial" w:eastAsia="Arial" w:hAnsi="Arial"/>
          <w:sz w:val="18"/>
          <w:szCs w:val="18"/>
          <w:color w:val="auto"/>
        </w:rPr>
      </w:pPr>
    </w:p>
    <w:p>
      <w:pPr>
        <w:ind w:left="900" w:right="540" w:firstLine="421"/>
        <w:spacing w:after="0" w:line="268" w:lineRule="auto"/>
        <w:tabs>
          <w:tab w:leader="none" w:pos="160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has occurred and is continuing, any other assignee;</w:t>
      </w:r>
    </w:p>
    <w:p>
      <w:pPr>
        <w:spacing w:after="0" w:line="50" w:lineRule="exact"/>
        <w:rPr>
          <w:rFonts w:ascii="Arial" w:cs="Arial" w:eastAsia="Arial" w:hAnsi="Arial"/>
          <w:sz w:val="18"/>
          <w:szCs w:val="18"/>
          <w:color w:val="auto"/>
        </w:rPr>
      </w:pPr>
    </w:p>
    <w:p>
      <w:pPr>
        <w:ind w:left="900" w:firstLine="421"/>
        <w:spacing w:after="0" w:line="268" w:lineRule="auto"/>
        <w:tabs>
          <w:tab w:leader="none" w:pos="159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any Revolving Loan Commitment to an assignee that is a Lender immediately prior to giving effect to such assignment; and</w:t>
      </w:r>
    </w:p>
    <w:p>
      <w:pPr>
        <w:spacing w:after="0" w:line="50" w:lineRule="exact"/>
        <w:rPr>
          <w:rFonts w:ascii="Arial" w:cs="Arial" w:eastAsia="Arial" w:hAnsi="Arial"/>
          <w:sz w:val="18"/>
          <w:szCs w:val="18"/>
          <w:color w:val="auto"/>
        </w:rPr>
      </w:pPr>
    </w:p>
    <w:p>
      <w:pPr>
        <w:ind w:left="1600" w:hanging="279"/>
        <w:spacing w:after="0"/>
        <w:tabs>
          <w:tab w:leader="none" w:pos="16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Issuing Bank.</w:t>
      </w:r>
    </w:p>
    <w:p>
      <w:pPr>
        <w:spacing w:after="0" w:line="171" w:lineRule="exact"/>
        <w:rPr>
          <w:rFonts w:ascii="Arial" w:cs="Arial" w:eastAsia="Arial" w:hAnsi="Arial"/>
          <w:sz w:val="18"/>
          <w:szCs w:val="18"/>
          <w:color w:val="auto"/>
        </w:rPr>
      </w:pPr>
    </w:p>
    <w:p>
      <w:pPr>
        <w:ind w:left="1160" w:hanging="259"/>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90" w:lineRule="exact"/>
        <w:rPr>
          <w:rFonts w:ascii="Arial" w:cs="Arial" w:eastAsia="Arial" w:hAnsi="Arial"/>
          <w:sz w:val="18"/>
          <w:szCs w:val="18"/>
          <w:color w:val="auto"/>
        </w:rPr>
      </w:pPr>
    </w:p>
    <w:p>
      <w:pPr>
        <w:ind w:left="900" w:right="100" w:firstLine="421"/>
        <w:spacing w:after="0" w:line="253" w:lineRule="auto"/>
        <w:tabs>
          <w:tab w:leader="none" w:pos="160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Revolving Loan Commitment or Loans of any Class, the amount of the Revolving Loan Commitment or Loans of the assigning Lender subject to each such assignment (determined as of the date the Assignment and Assumption with respect to such assignment is delivered to the Administrative Agent) shall not be less than the lesser of (i) $5,000,000.00 or (ii) the remaining amount of the assigning Lender’s Revolving Loan Commitment (calculated as of the date of such assignment), if any, and outstanding Loans,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66" w:lineRule="exact"/>
        <w:rPr>
          <w:rFonts w:ascii="Arial" w:cs="Arial" w:eastAsia="Arial" w:hAnsi="Arial"/>
          <w:sz w:val="18"/>
          <w:szCs w:val="18"/>
          <w:color w:val="auto"/>
        </w:rPr>
      </w:pPr>
    </w:p>
    <w:p>
      <w:pPr>
        <w:ind w:left="900" w:right="60" w:firstLine="421"/>
        <w:spacing w:after="0" w:line="256" w:lineRule="auto"/>
        <w:tabs>
          <w:tab w:leader="none" w:pos="159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Revolving Loan Commitments or Loans;</w:t>
      </w:r>
    </w:p>
    <w:p>
      <w:pPr>
        <w:spacing w:after="0" w:line="62" w:lineRule="exact"/>
        <w:rPr>
          <w:rFonts w:ascii="Arial" w:cs="Arial" w:eastAsia="Arial" w:hAnsi="Arial"/>
          <w:sz w:val="18"/>
          <w:szCs w:val="18"/>
          <w:color w:val="auto"/>
        </w:rPr>
      </w:pPr>
    </w:p>
    <w:p>
      <w:pPr>
        <w:ind w:left="900" w:right="480" w:firstLine="421"/>
        <w:spacing w:after="0" w:line="268" w:lineRule="auto"/>
        <w:tabs>
          <w:tab w:leader="none" w:pos="159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$3,500.00;</w:t>
      </w:r>
    </w:p>
    <w:p>
      <w:pPr>
        <w:spacing w:after="0" w:line="50" w:lineRule="exact"/>
        <w:rPr>
          <w:rFonts w:ascii="Arial" w:cs="Arial" w:eastAsia="Arial" w:hAnsi="Arial"/>
          <w:sz w:val="18"/>
          <w:szCs w:val="18"/>
          <w:color w:val="auto"/>
        </w:rPr>
      </w:pPr>
    </w:p>
    <w:p>
      <w:pPr>
        <w:ind w:left="1600" w:hanging="279"/>
        <w:spacing w:after="0"/>
        <w:tabs>
          <w:tab w:leader="none" w:pos="16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and</w:t>
      </w:r>
    </w:p>
    <w:p>
      <w:pPr>
        <w:spacing w:after="0" w:line="90" w:lineRule="exact"/>
        <w:rPr>
          <w:rFonts w:ascii="Arial" w:cs="Arial" w:eastAsia="Arial" w:hAnsi="Arial"/>
          <w:sz w:val="18"/>
          <w:szCs w:val="18"/>
          <w:color w:val="auto"/>
        </w:rPr>
      </w:pPr>
    </w:p>
    <w:p>
      <w:pPr>
        <w:ind w:left="900" w:right="20" w:firstLine="421"/>
        <w:spacing w:after="0" w:line="259" w:lineRule="auto"/>
        <w:tabs>
          <w:tab w:leader="none" w:pos="158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no Designated Lender shall have any right to make any assignment of its rights and obligations hereunder, provided that any assignment by any Designating Lender in accordance herewith shall include an assignment of the same proportionate part of all its Designated Lender’s rights and obligations under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60" w:top="280" w:right="23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purposes of this </w:t>
      </w:r>
      <w:r>
        <w:rPr>
          <w:rFonts w:ascii="Arial" w:cs="Arial" w:eastAsia="Arial" w:hAnsi="Arial"/>
          <w:sz w:val="18"/>
          <w:szCs w:val="18"/>
          <w:u w:val="single" w:color="auto"/>
          <w:color w:val="auto"/>
        </w:rPr>
        <w:t>Section 9.04(b)</w:t>
      </w:r>
      <w:r>
        <w:rPr>
          <w:rFonts w:ascii="Arial" w:cs="Arial" w:eastAsia="Arial" w:hAnsi="Arial"/>
          <w:sz w:val="18"/>
          <w:szCs w:val="18"/>
          <w:color w:val="auto"/>
        </w:rPr>
        <w:t>, the term “</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following meaning:</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40" w:lineRule="exact"/>
        <w:rPr>
          <w:sz w:val="20"/>
          <w:szCs w:val="20"/>
          <w:color w:val="auto"/>
        </w:rPr>
      </w:pPr>
    </w:p>
    <w:p>
      <w:pPr>
        <w:ind w:right="60" w:firstLine="921"/>
        <w:spacing w:after="0" w:line="289" w:lineRule="auto"/>
        <w:tabs>
          <w:tab w:leader="none" w:pos="12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paragraph (c) of this Section.</w:t>
      </w:r>
    </w:p>
    <w:p>
      <w:pPr>
        <w:spacing w:after="0" w:line="118" w:lineRule="exact"/>
        <w:rPr>
          <w:rFonts w:ascii="Arial" w:cs="Arial" w:eastAsia="Arial" w:hAnsi="Arial"/>
          <w:sz w:val="16"/>
          <w:szCs w:val="16"/>
          <w:color w:val="auto"/>
        </w:rPr>
      </w:pPr>
    </w:p>
    <w:p>
      <w:pPr>
        <w:ind w:right="20" w:firstLine="921"/>
        <w:spacing w:after="0" w:line="291" w:lineRule="auto"/>
        <w:tabs>
          <w:tab w:leader="none" w:pos="12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Lenders, and the Revolving Loan Commitment of, and principal amount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Borrowers,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20" w:lineRule="exact"/>
        <w:rPr>
          <w:rFonts w:ascii="Arial" w:cs="Arial" w:eastAsia="Arial" w:hAnsi="Arial"/>
          <w:sz w:val="16"/>
          <w:szCs w:val="16"/>
          <w:color w:val="auto"/>
        </w:rPr>
      </w:pPr>
    </w:p>
    <w:p>
      <w:pPr>
        <w:ind w:firstLine="921"/>
        <w:spacing w:after="0" w:line="289"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2.06(d)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2.06(e)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9.03(c)</w:t>
      </w:r>
      <w:r>
        <w:rPr>
          <w:rFonts w:ascii="Arial" w:cs="Arial" w:eastAsia="Arial" w:hAnsi="Arial"/>
          <w:sz w:val="16"/>
          <w:szCs w:val="16"/>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18" w:lineRule="exact"/>
        <w:rPr>
          <w:sz w:val="20"/>
          <w:szCs w:val="20"/>
          <w:color w:val="auto"/>
        </w:rPr>
      </w:pPr>
    </w:p>
    <w:p>
      <w:pPr>
        <w:ind w:right="240" w:firstLine="464"/>
        <w:spacing w:after="0" w:line="268"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Borrowers, the Administrative Agent, the Issuing Bank or the Swingline Lender,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Lender’s rights and obligations under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18" w:name="page119"/>
    <w:bookmarkEnd w:id="118"/>
    <w:p>
      <w:pPr>
        <w:ind w:righ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(including all or a portion of its Revolving Loan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w:t>
      </w:r>
    </w:p>
    <w:p>
      <w:pPr>
        <w:ind w:right="20" w:firstLine="8"/>
        <w:spacing w:after="0" w:line="287" w:lineRule="auto"/>
        <w:tabs>
          <w:tab w:leader="none" w:pos="2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Borrowers, the Administrative Agent, the Issuing Bank and the other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9.01(b)</w:t>
      </w:r>
      <w:r>
        <w:rPr>
          <w:rFonts w:ascii="Arial" w:cs="Arial" w:eastAsia="Arial" w:hAnsi="Arial"/>
          <w:sz w:val="16"/>
          <w:szCs w:val="16"/>
          <w:color w:val="auto"/>
        </w:rPr>
        <w:t xml:space="preserve"> that affects such Participant. Subject to paragraph (c)(ii) of this Section, the Borrowers agree that each Participant shall be entitled to the benefits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124" w:lineRule="exact"/>
        <w:rPr>
          <w:rFonts w:ascii="Arial" w:cs="Arial" w:eastAsia="Arial" w:hAnsi="Arial"/>
          <w:sz w:val="16"/>
          <w:szCs w:val="16"/>
          <w:color w:val="auto"/>
        </w:rPr>
      </w:pPr>
    </w:p>
    <w:p>
      <w:pPr>
        <w:ind w:firstLine="921"/>
        <w:spacing w:after="0" w:line="254" w:lineRule="auto"/>
        <w:tabs>
          <w:tab w:leader="none" w:pos="1171"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or a non-resident of Canada for purposes of the ITA in the case of any participation of rights and/or obligations with respect to a Canadian Borrower, shall not be entitled to the benefits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unless the Borrowers are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as though it were a Lender.</w:t>
      </w:r>
    </w:p>
    <w:p>
      <w:pPr>
        <w:spacing w:after="0" w:line="144" w:lineRule="exact"/>
        <w:rPr>
          <w:rFonts w:ascii="Arial" w:cs="Arial" w:eastAsia="Arial" w:hAnsi="Arial"/>
          <w:sz w:val="18"/>
          <w:szCs w:val="18"/>
          <w:color w:val="auto"/>
        </w:rPr>
      </w:pPr>
    </w:p>
    <w:p>
      <w:pPr>
        <w:ind w:right="340" w:firstLine="464"/>
        <w:spacing w:after="0" w:line="298" w:lineRule="auto"/>
        <w:tabs>
          <w:tab w:leader="none" w:pos="7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12" w:lineRule="exact"/>
        <w:rPr>
          <w:rFonts w:ascii="Arial" w:cs="Arial" w:eastAsia="Arial" w:hAnsi="Arial"/>
          <w:sz w:val="16"/>
          <w:szCs w:val="16"/>
          <w:color w:val="auto"/>
        </w:rPr>
      </w:pPr>
    </w:p>
    <w:p>
      <w:pPr>
        <w:ind w:right="40" w:firstLine="464"/>
        <w:spacing w:after="0" w:line="259" w:lineRule="auto"/>
        <w:tabs>
          <w:tab w:leader="none" w:pos="69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Borrowers authorize each Lender to disclose to any Participant or Purchaser or any other Person acquiring an interest in the Loan Documents by operation of law (each a “Transferee”) and any prospective Transferee any and all information in such Lender’s possession concerning the creditworthiness of the Company and its Subsidiaries.</w:t>
      </w:r>
    </w:p>
    <w:p>
      <w:pPr>
        <w:spacing w:after="0" w:line="140" w:lineRule="exact"/>
        <w:rPr>
          <w:rFonts w:ascii="Arial" w:cs="Arial" w:eastAsia="Arial" w:hAnsi="Arial"/>
          <w:sz w:val="18"/>
          <w:szCs w:val="18"/>
          <w:color w:val="auto"/>
        </w:rPr>
      </w:pPr>
    </w:p>
    <w:p>
      <w:pPr>
        <w:ind w:right="20" w:firstLine="464"/>
        <w:spacing w:after="0" w:line="290" w:lineRule="auto"/>
        <w:tabs>
          <w:tab w:leader="none" w:pos="67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(i) Any Lender may at any time after approval of the Administrative Agent and the Company designate not more than one Designated Lender to fund Borrowings on behalf of such Designating Lender subject to the terms of this </w:t>
      </w:r>
      <w:r>
        <w:rPr>
          <w:rFonts w:ascii="Arial" w:cs="Arial" w:eastAsia="Arial" w:hAnsi="Arial"/>
          <w:sz w:val="16"/>
          <w:szCs w:val="16"/>
          <w:u w:val="single" w:color="auto"/>
          <w:color w:val="auto"/>
        </w:rPr>
        <w:t>Section 9.04(f)</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not apply to such designation. No Lender may have more than one Designated Lender at any time. Such designation may occur either by the execution of the signature pages hereof by such Lender and Designated Lender next to the appropriate “Designating Lender” and “Designated Lender” captions, or by execution by such parties of a Designation Agreement subsequent to the date hereof in a form acceptable to the Administrative Agent (a “</w:t>
      </w:r>
      <w:r>
        <w:rPr>
          <w:rFonts w:ascii="Arial" w:cs="Arial" w:eastAsia="Arial" w:hAnsi="Arial"/>
          <w:sz w:val="16"/>
          <w:szCs w:val="16"/>
          <w:u w:val="single" w:color="auto"/>
          <w:color w:val="auto"/>
        </w:rPr>
        <w:t>Designation Agreement</w:t>
      </w:r>
      <w:r>
        <w:rPr>
          <w:rFonts w:ascii="Arial" w:cs="Arial" w:eastAsia="Arial" w:hAnsi="Arial"/>
          <w:sz w:val="16"/>
          <w:szCs w:val="16"/>
          <w:color w:val="auto"/>
        </w:rPr>
        <w:t>”). The parties to each such designation occurring subsequent to the execution date hereof shall execute and deliver to the Administrative Agent and the Company for their acceptance a Designation Agreement. Upon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119" w:name="page120"/>
    <w:bookmarkEnd w:id="119"/>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receipt of an appropriately completed Designation Agreement executed by a Designating Lender and a designee representing that it is a Designated Lender and consented to by the Company and the Administrative Agent, the Administrative Agent will accept such Designation Agreement and will give prompt notice thereof to the Company and the other Lenders, whereupon, from and after the effective date specified in the Designation Agreement, the Designated Lender shall become a party to this Agreement with a right to fund Canadian Dollar Loans on behalf of its Designating Lender.</w:t>
      </w:r>
    </w:p>
    <w:p>
      <w:pPr>
        <w:spacing w:after="0" w:line="113" w:lineRule="exact"/>
        <w:rPr>
          <w:sz w:val="20"/>
          <w:szCs w:val="20"/>
          <w:color w:val="auto"/>
        </w:rPr>
      </w:pPr>
    </w:p>
    <w:p>
      <w:pPr>
        <w:ind w:right="360" w:firstLine="921"/>
        <w:spacing w:after="0" w:line="268" w:lineRule="auto"/>
        <w:tabs>
          <w:tab w:leader="none" w:pos="117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Designating Lender shall be and remain obligated to the Company, the Administrative Agent and the Lenders for each and every of the obligations of the Designating Lender and its related Designated Lender with respect to this Agreement.</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Effective upon a Designated Lender’s execution of this Agreement or delivery of a Designation Agreement, as applicable:</w:t>
      </w:r>
    </w:p>
    <w:p>
      <w:pPr>
        <w:spacing w:after="0" w:line="90" w:lineRule="exact"/>
        <w:rPr>
          <w:rFonts w:ascii="Arial" w:cs="Arial" w:eastAsia="Arial" w:hAnsi="Arial"/>
          <w:sz w:val="18"/>
          <w:szCs w:val="18"/>
          <w:color w:val="auto"/>
        </w:rPr>
      </w:pPr>
    </w:p>
    <w:p>
      <w:pPr>
        <w:ind w:left="920" w:right="120" w:firstLine="421"/>
        <w:spacing w:after="0" w:line="314" w:lineRule="auto"/>
        <w:tabs>
          <w:tab w:leader="none" w:pos="1627"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The Designated Lender appoints the Designating Lender as Designated Lender’s administrative agent and attorney in fact and grants to Designating Lender an irrevocable power of attorney to receive payments made for the benefit of Designated Lender, to deliver and receive all communications and notices under this Agreement and the other Loan Documents and to exercise on the Designated Lender’s behalf all rights to vote and to grant and make approvals, waivers, consents of amendments to or under this Agreement or the other Loan Papers. Any document executed by Designating Lender on Designated Lender’s behalf in connection with this Agreement or the Loan Documents shall be binding on the Designated Lender. The Borrowers, the Administrative Agent and each of the Lenders may rely on and are beneficiaries of the preceding provision.</w:t>
      </w:r>
    </w:p>
    <w:p>
      <w:pPr>
        <w:spacing w:after="0" w:line="23" w:lineRule="exact"/>
        <w:rPr>
          <w:rFonts w:ascii="Arial" w:cs="Arial" w:eastAsia="Arial" w:hAnsi="Arial"/>
          <w:sz w:val="15"/>
          <w:szCs w:val="15"/>
          <w:color w:val="auto"/>
        </w:rPr>
      </w:pPr>
    </w:p>
    <w:p>
      <w:pPr>
        <w:ind w:left="920" w:firstLine="421"/>
        <w:spacing w:after="0" w:line="291" w:lineRule="auto"/>
        <w:tabs>
          <w:tab w:leader="none" w:pos="161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Each Designating Lender unconditionally agrees to pay or reimburse its Designated Lender and save it harmless against all liabilities, obligations, losses, damages, penalties, actions, judgments, suits, costs, expenses or disbursements of any kind or nature whatsoever which may be imposed or asserted by any of the parties to the Loan Documents against the Designated Lender, in its capacity as such, in any way relating to or arising out of this Agreement or any other Loan Documents or any action taken or omitted by the Designated Lender hereunder or thereunder, provided that the Designating Lender shall not be liable for any portion of such liabilities, obligations, losses, damages, penalties, actions, judgments, suits, costs, expenses or disbursements if the same results from the Designated Lender’s gross negligence or willful misconduct.</w:t>
      </w:r>
    </w:p>
    <w:p>
      <w:pPr>
        <w:spacing w:after="0" w:line="12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Disclosure</w:t>
      </w:r>
      <w:r>
        <w:rPr>
          <w:rFonts w:ascii="Arial" w:cs="Arial" w:eastAsia="Arial" w:hAnsi="Arial"/>
          <w:sz w:val="18"/>
          <w:szCs w:val="18"/>
          <w:color w:val="auto"/>
        </w:rPr>
        <w:t>. The Borrowers and each Lender hereby (i) acknowledge and agree that (a) one or more Affiliates of JPMorgan Chase are or may become direct or indirect equity investors in the Company, and (b) JPMorgan Chase and/or its Affiliates from time to time may hold other investments in, make other loans to or have other relationships with the Company, and (ii) waive any liability of JPMorgan Chase or such Affiliate to the Company or any Lender, respectively, arising out of or resulting from such investments, loans or relationships other than liabilities arising out of the gross negligence or willful misconduct of JPMorgan Chase or its Affiliates.</w:t>
      </w:r>
    </w:p>
    <w:p>
      <w:pPr>
        <w:spacing w:after="0" w:line="143"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Borrowers herein and in the certificates or other instruments delivered in connection with or pursuant to this Agreement shall be considered to have been relied upon by the other parties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120" w:name="page121"/>
    <w:bookmarkEnd w:id="12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hereto and shall survive the execution and delivery of this Agreement and the making of any Loans and issuance of any Facility LCs,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Facility LC is outstanding and so long as the Revolving Loan Commitments have not expired or terminated.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Facility LCs and the Revolving Loan Commitments or the termination of this Agreement or any provision hereof.</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Right of Set-off</w:t>
      </w:r>
      <w:r>
        <w:rPr>
          <w:rFonts w:ascii="Arial" w:cs="Arial" w:eastAsia="Arial" w:hAnsi="Arial"/>
          <w:sz w:val="16"/>
          <w:szCs w:val="16"/>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Borrowers against any of and all the obligations of the Borrowers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Oklahoma.</w:t>
      </w:r>
    </w:p>
    <w:p>
      <w:pPr>
        <w:spacing w:after="0" w:line="132" w:lineRule="exact"/>
        <w:rPr>
          <w:sz w:val="20"/>
          <w:szCs w:val="20"/>
          <w:color w:val="auto"/>
        </w:rPr>
      </w:pPr>
    </w:p>
    <w:p>
      <w:pPr>
        <w:ind w:right="80" w:firstLine="464"/>
        <w:spacing w:after="0" w:line="332" w:lineRule="auto"/>
        <w:tabs>
          <w:tab w:leader="none" w:pos="70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submits, for itself and its property, to the nonexclusive jurisdiction of any United States federal court or Oklahoma state court sitting in Tulsa, Oklahoma, and any appellate court from any thereof, in any action or proceeding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0" w:right="279" w:bottom="1440" w:gutter="0" w:footer="0" w:header="0"/>
        </w:sectPr>
      </w:pPr>
    </w:p>
    <w:bookmarkStart w:id="121" w:name="page122"/>
    <w:bookmarkEnd w:id="121"/>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out of or relating to this Agreement, or for recognition or enforcement of any judgment, and each of the parties hereto hereby irrevocably and unconditionally agrees that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Borrowers or any of their properties in the courts of any jurisdiction.</w:t>
      </w:r>
    </w:p>
    <w:p>
      <w:pPr>
        <w:spacing w:after="0" w:line="144" w:lineRule="exact"/>
        <w:rPr>
          <w:sz w:val="20"/>
          <w:szCs w:val="20"/>
          <w:color w:val="auto"/>
        </w:rPr>
      </w:pPr>
    </w:p>
    <w:p>
      <w:pPr>
        <w:ind w:firstLine="464"/>
        <w:spacing w:after="0" w:line="256"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3"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Confidentiality</w:t>
      </w:r>
      <w:r>
        <w:rPr>
          <w:rFonts w:ascii="Arial" w:cs="Arial" w:eastAsia="Arial" w:hAnsi="Arial"/>
          <w:sz w:val="16"/>
          <w:szCs w:val="16"/>
          <w:color w:val="auto"/>
        </w:rPr>
        <w:t>. (a) Each of the Administrative Agent, the Issuing Bank and the Lenders agrees to maintain the confidentiality of the Information (as defined below), except that Information may be disclosed (a) to its and its Affiliates’ and Approved Funds’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22" w:name="page123"/>
    <w:bookmarkEnd w:id="122"/>
    <w:p>
      <w:pPr>
        <w:ind w:right="2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in, any of its rights or obligations under this Agreement or (ii) any actual or prospective counterparty (or its advisors) to any swap or derivative transaction relating to the Borrowers and their obligations, (g) with the consent of the Borrowers or (h) to the extent such Information (i) becomes publicly available other than as a result of a breach of this Section or (ii) becomes available to the Administrative Agent, the Issuing Bank or any Lender on a non-confidential basis from a source other than the Borrowers.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4" w:lineRule="exact"/>
        <w:rPr>
          <w:sz w:val="20"/>
          <w:szCs w:val="20"/>
          <w:color w:val="auto"/>
        </w:rPr>
      </w:pPr>
    </w:p>
    <w:p>
      <w:pPr>
        <w:ind w:right="320" w:firstLine="464"/>
        <w:spacing w:after="0" w:line="256"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EACH LENDER ACKNOWLEDGES THAT INFORMATION AS DEFINED IN </w:t>
      </w:r>
      <w:r>
        <w:rPr>
          <w:rFonts w:ascii="Arial" w:cs="Arial" w:eastAsia="Arial" w:hAnsi="Arial"/>
          <w:sz w:val="18"/>
          <w:szCs w:val="18"/>
          <w:b w:val="1"/>
          <w:bCs w:val="1"/>
          <w:u w:val="single" w:color="auto"/>
          <w:color w:val="auto"/>
        </w:rPr>
        <w:t>SECTION 9.13(a)</w:t>
      </w:r>
      <w:r>
        <w:rPr>
          <w:rFonts w:ascii="Arial" w:cs="Arial" w:eastAsia="Arial" w:hAnsi="Arial"/>
          <w:sz w:val="18"/>
          <w:szCs w:val="18"/>
          <w:b w:val="1"/>
          <w:bCs w:val="1"/>
          <w:color w:val="auto"/>
        </w:rPr>
        <w:t xml:space="preserve"> FURNISHED TO IT PURSUANT TO THIS AGREEMENT MAY INCLUDE MATERIAL NON-PUBLIC INFORMATION CONCERNING THE BORROWER AND ITS RELATED PARTIES OR THEIR RESPECTIVE SECURITIES, THAT IT HAS DEVELOPED COMPLIANCE PROCEDURES REGARDING THE USE OF MATERIAL NON-PUBLIC INFORMATION AND THAT IT WILL HANDLE SUCH MATERIAL NON-PUBLIC INFORMATION IN ACCORDANCE WITH THOSE PROCEDURES AND APPLICABLE LAW, INCLUDING FEDERAL AND STATE SECURITIES LAWS</w:t>
      </w:r>
      <w:r>
        <w:rPr>
          <w:rFonts w:ascii="Arial" w:cs="Arial" w:eastAsia="Arial" w:hAnsi="Arial"/>
          <w:sz w:val="18"/>
          <w:szCs w:val="18"/>
          <w:color w:val="auto"/>
        </w:rPr>
        <w:t>.</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“Act”) hereby notifies the Borrowers that pursuant to the requirements of the Act, it is required to obtain, verify and record information that identifies the Borrowers, which information includes the name and address of the Borrowers and other information that will allow such Lender to identify the Borrowers in accordance with the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Judgment Currency Conversion</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332"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obligations of the Borrowers or any of the other Credit Parties hereunder and under the other Loan Documents to make payments in US Dollars or in Canadian Dollars, as the case may be (the “</w:t>
      </w:r>
      <w:r>
        <w:rPr>
          <w:rFonts w:ascii="Arial" w:cs="Arial" w:eastAsia="Arial" w:hAnsi="Arial"/>
          <w:sz w:val="16"/>
          <w:szCs w:val="16"/>
          <w:u w:val="single" w:color="auto"/>
          <w:color w:val="auto"/>
        </w:rPr>
        <w:t>Obligation Currency</w:t>
      </w:r>
      <w:r>
        <w:rPr>
          <w:rFonts w:ascii="Arial" w:cs="Arial" w:eastAsia="Arial" w:hAnsi="Arial"/>
          <w:sz w:val="16"/>
          <w:szCs w:val="16"/>
          <w:color w:val="auto"/>
        </w:rPr>
        <w:t>”), shall not be discharged or satisfied by any tender or recovery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23" w:name="page124"/>
    <w:bookmarkEnd w:id="12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any Credit Party in any court or in any jurisdiction, it becomes necessary to convert into or from any currency other than the Obligation Currency (such other currency being hereinafter referred to as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6"/>
          <w:szCs w:val="16"/>
          <w:u w:val="single" w:color="auto"/>
          <w:color w:val="auto"/>
        </w:rPr>
        <w:t>Judgment Currency Conversion Date</w:t>
      </w:r>
      <w:r>
        <w:rPr>
          <w:rFonts w:ascii="Arial" w:cs="Arial" w:eastAsia="Arial" w:hAnsi="Arial"/>
          <w:sz w:val="16"/>
          <w:szCs w:val="16"/>
          <w:color w:val="auto"/>
        </w:rPr>
        <w:t>”).</w:t>
      </w:r>
    </w:p>
    <w:p>
      <w:pPr>
        <w:spacing w:after="0" w:line="118" w:lineRule="exact"/>
        <w:rPr>
          <w:sz w:val="20"/>
          <w:szCs w:val="20"/>
          <w:color w:val="auto"/>
        </w:rPr>
      </w:pPr>
    </w:p>
    <w:p>
      <w:pPr>
        <w:ind w:right="140" w:firstLine="464"/>
        <w:spacing w:after="0" w:line="294"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Judgment Currency Conversion Date and the date of actual payment of the amount due, the Credit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15" w:lineRule="exact"/>
        <w:rPr>
          <w:rFonts w:ascii="Arial" w:cs="Arial" w:eastAsia="Arial" w:hAnsi="Arial"/>
          <w:sz w:val="16"/>
          <w:szCs w:val="16"/>
          <w:color w:val="auto"/>
        </w:rPr>
      </w:pPr>
    </w:p>
    <w:p>
      <w:pPr>
        <w:ind w:right="60" w:firstLine="464"/>
        <w:spacing w:after="0" w:line="268"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amount due from a Credit Party under this </w:t>
      </w:r>
      <w:r>
        <w:rPr>
          <w:rFonts w:ascii="Arial" w:cs="Arial" w:eastAsia="Arial" w:hAnsi="Arial"/>
          <w:sz w:val="18"/>
          <w:szCs w:val="18"/>
          <w:u w:val="single" w:color="auto"/>
          <w:color w:val="auto"/>
        </w:rPr>
        <w:t>Section 9.16(c)</w:t>
      </w:r>
      <w:r>
        <w:rPr>
          <w:rFonts w:ascii="Arial" w:cs="Arial" w:eastAsia="Arial" w:hAnsi="Arial"/>
          <w:sz w:val="18"/>
          <w:szCs w:val="18"/>
          <w:color w:val="auto"/>
        </w:rPr>
        <w:t xml:space="preserve"> shall be due as a separate debt and shall not be affected by judgment being obtained for any other amounts due under or in respect of any of the Loan Documents.</w:t>
      </w:r>
    </w:p>
    <w:p>
      <w:pPr>
        <w:spacing w:after="0" w:line="131" w:lineRule="exact"/>
        <w:rPr>
          <w:rFonts w:ascii="Arial" w:cs="Arial" w:eastAsia="Arial" w:hAnsi="Arial"/>
          <w:sz w:val="18"/>
          <w:szCs w:val="18"/>
          <w:color w:val="auto"/>
        </w:rPr>
      </w:pPr>
    </w:p>
    <w:p>
      <w:pPr>
        <w:ind w:right="580" w:firstLine="464"/>
        <w:spacing w:after="0" w:line="268"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purposes of determining the prevailing rate of exchange, such amounts shall include any premium and costs payable in connection with the purchase of the Obligation Currency.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4"/>
          <w:szCs w:val="14"/>
          <w:i w:val="1"/>
          <w:iCs w:val="1"/>
          <w:color w:val="auto"/>
        </w:rPr>
        <w:t>AGES</w:t>
      </w:r>
      <w:r>
        <w:rPr>
          <w:rFonts w:ascii="Arial" w:cs="Arial" w:eastAsia="Arial" w:hAnsi="Arial"/>
          <w:sz w:val="18"/>
          <w:szCs w:val="18"/>
          <w:color w:val="auto"/>
        </w:rPr>
        <w:t xml:space="preserve"> </w:t>
      </w:r>
      <w:r>
        <w:rPr>
          <w:rFonts w:ascii="Arial" w:cs="Arial" w:eastAsia="Arial" w:hAnsi="Arial"/>
          <w:sz w:val="18"/>
          <w:szCs w:val="18"/>
          <w:i w:val="1"/>
          <w:iCs w:val="1"/>
          <w:color w:val="auto"/>
        </w:rPr>
        <w:t>A</w:t>
      </w:r>
      <w:r>
        <w:rPr>
          <w:rFonts w:ascii="Arial" w:cs="Arial" w:eastAsia="Arial" w:hAnsi="Arial"/>
          <w:sz w:val="14"/>
          <w:szCs w:val="14"/>
          <w:i w:val="1"/>
          <w:iCs w:val="1"/>
          <w:color w:val="auto"/>
        </w:rPr>
        <w:t>TTACHED</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124" w:name="page125"/>
    <w:bookmarkEnd w:id="124"/>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MATRIX SERVICE COMPANY</w:t>
      </w:r>
      <w:r>
        <w:rPr>
          <w:rFonts w:ascii="Arial" w:cs="Arial" w:eastAsia="Arial" w:hAnsi="Arial"/>
          <w:sz w:val="18"/>
          <w:szCs w:val="18"/>
          <w:color w:val="auto"/>
        </w:rPr>
        <w:t>, a Delaware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Jason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Jason Turner,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MATRIX SERVICE INC.</w:t>
      </w:r>
      <w:r>
        <w:rPr>
          <w:rFonts w:ascii="Arial" w:cs="Arial" w:eastAsia="Arial" w:hAnsi="Arial"/>
          <w:sz w:val="16"/>
          <w:szCs w:val="16"/>
          <w:color w:val="auto"/>
        </w:rPr>
        <w:t>, an Ontario, Canada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Jason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Jason Turner,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MATRIX SERVICE INDUSTRIAL CONTRACTORS ULC</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Nova Scotia, Canada unlimited liability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Jason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Jason Turner,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MATRIX SERVICE CANADA ULC </w:t>
      </w:r>
      <w:r>
        <w:rPr>
          <w:rFonts w:ascii="Arial" w:cs="Arial" w:eastAsia="Arial" w:hAnsi="Arial"/>
          <w:sz w:val="18"/>
          <w:szCs w:val="18"/>
          <w:color w:val="auto"/>
        </w:rPr>
        <w:t>(formerly known as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MATRIX SERVICE ULC), an Alberta, Canada unlimited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Jason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Jason Turner,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NOTICE ADDRESS</w:t>
      </w:r>
      <w:r>
        <w:rPr>
          <w:rFonts w:ascii="Arial" w:cs="Arial" w:eastAsia="Arial" w:hAnsi="Arial"/>
          <w:sz w:val="18"/>
          <w:szCs w:val="18"/>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Matrix Service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5100 E. Skelly Drive, Suite 700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Tulsa, OK 74135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(918) 838-8822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(918) 838-8810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Jturner@matrixservice.com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4"/>
          <w:szCs w:val="14"/>
          <w:i w:val="1"/>
          <w:iCs w:val="1"/>
          <w:color w:val="auto"/>
        </w:rPr>
        <w:t>HIRD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MENDED AND</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ESTATED</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REDIT</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ectPr>
          <w:pgSz w:w="11900" w:h="16838" w:orient="portrait"/>
          <w:cols w:equalWidth="0" w:num="1">
            <w:col w:w="11400"/>
          </w:cols>
          <w:pgMar w:left="240" w:top="280" w:right="25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6"/>
          <w:szCs w:val="16"/>
          <w:color w:val="auto"/>
        </w:rPr>
        <w:t>, as Administrative Agent</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Jennifer Kalvaitis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Jennifer Kalvaitis,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NOTICE ADDRESS</w:t>
      </w:r>
      <w:r>
        <w:rPr>
          <w:rFonts w:ascii="Arial" w:cs="Arial" w:eastAsia="Arial" w:hAnsi="Arial"/>
          <w:sz w:val="18"/>
          <w:szCs w:val="18"/>
          <w:color w:val="auto"/>
        </w:rPr>
        <w: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15 E. 5</w:t>
      </w:r>
      <w:r>
        <w:rPr>
          <w:rFonts w:ascii="Arial" w:cs="Arial" w:eastAsia="Arial" w:hAnsi="Arial"/>
          <w:sz w:val="11"/>
          <w:szCs w:val="11"/>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Tulsa, Oklahoma 74103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Jennifer Kalvaitis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Phone No. 918-586-5955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jennifer.l.kalvaitis@chase.com</w:t>
      </w:r>
    </w:p>
    <w:p>
      <w:pPr>
        <w:spacing w:after="0" w:line="151" w:lineRule="exact"/>
        <w:rPr>
          <w:sz w:val="20"/>
          <w:szCs w:val="20"/>
          <w:color w:val="auto"/>
        </w:rPr>
      </w:pPr>
    </w:p>
    <w:p>
      <w:pPr>
        <w:jc w:val="center"/>
        <w:ind w:right="108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10100"/>
          </w:cols>
          <w:pgMar w:left="1440" w:top="274" w:right="35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6"/>
          <w:szCs w:val="16"/>
          <w:color w:val="auto"/>
        </w:rPr>
        <w:t>, as Issuing Bank,</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Swingline Lender and 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Jennifer Kalvaitis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Jennifer Kalvaitis,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NOTICE ADDRESS</w:t>
      </w:r>
      <w:r>
        <w:rPr>
          <w:rFonts w:ascii="Arial" w:cs="Arial" w:eastAsia="Arial" w:hAnsi="Arial"/>
          <w:sz w:val="18"/>
          <w:szCs w:val="18"/>
          <w:color w:val="auto"/>
        </w:rPr>
        <w: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Borrowing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Nicole Gilmore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 S. Dearborn, Floor 7</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Phone: 312.732.2015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312.385.7101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cls.reb.chicago@jpmchase.com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LC Issuance: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Cassandra Groves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 S. Dearborn, Floor 7</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312.732.2006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312.732.2729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Chicago.lc.agency.closing.team@jpmchase.com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For Facility LCs denominated in Canadian Dollars: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Jennifer McLaughlin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200 Bay Street, Floor 18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Toronto, ON, M5J 2J2, Canada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416.981.2324</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416.981.2375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jennifer.l.mclaughlin@jpmorgan.com</w:t>
      </w:r>
    </w:p>
    <w:p>
      <w:pPr>
        <w:spacing w:after="0" w:line="151" w:lineRule="exact"/>
        <w:rPr>
          <w:sz w:val="20"/>
          <w:szCs w:val="20"/>
          <w:color w:val="auto"/>
        </w:rPr>
      </w:pPr>
    </w:p>
    <w:p>
      <w:pPr>
        <w:jc w:val="center"/>
        <w:ind w:right="5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540"/>
          </w:cols>
          <w:pgMar w:left="1440" w:top="274" w:right="91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Toronto, Branch</w:t>
      </w:r>
      <w:r>
        <w:rPr>
          <w:rFonts w:ascii="Arial" w:cs="Arial" w:eastAsia="Arial" w:hAnsi="Arial"/>
          <w:sz w:val="16"/>
          <w:szCs w:val="16"/>
          <w:color w:val="auto"/>
        </w:rPr>
        <w:t>,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Michael Tam, Senior Vice President</w:t>
      </w:r>
    </w:p>
    <w:p>
      <w:pPr>
        <w:spacing w:after="0" w:line="158"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ind w:right="960"/>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980"/>
          </w:cols>
          <w:pgMar w:left="1440" w:top="274" w:right="479" w:bottom="1440" w:gutter="0" w:footer="0" w:header="0"/>
        </w:sectPr>
      </w:pPr>
    </w:p>
    <w:bookmarkStart w:id="128" w:name="page129"/>
    <w:bookmarkEnd w:id="12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Arial" w:cs="Arial" w:eastAsia="Arial" w:hAnsi="Arial"/>
          <w:sz w:val="16"/>
          <w:szCs w:val="16"/>
          <w:color w:val="auto"/>
        </w:rPr>
        <w:t>, as Syndication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Kevin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Cooper, Vice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29" w:name="page130"/>
    <w:bookmarkEnd w:id="12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N.A. </w:t>
      </w:r>
      <w:r>
        <w:rPr>
          <w:rFonts w:ascii="Arial" w:cs="Arial" w:eastAsia="Arial" w:hAnsi="Arial"/>
          <w:sz w:val="16"/>
          <w:szCs w:val="16"/>
          <w:color w:val="auto"/>
        </w:rPr>
        <w:t>(Canada branch)</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Medina Sales de Andrade, Vice President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0" w:name="page131"/>
    <w:bookmarkEnd w:id="13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w:t>
      </w:r>
      <w:r>
        <w:rPr>
          <w:rFonts w:ascii="Arial" w:cs="Arial" w:eastAsia="Arial" w:hAnsi="Arial"/>
          <w:sz w:val="18"/>
          <w:szCs w:val="18"/>
          <w:color w:val="auto"/>
        </w:rPr>
        <w:t>, 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Documentation Agent and as a Lender,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Designating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Reginald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Reginald D. Johnson, Vice President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1" w:name="page132"/>
    <w:bookmarkEnd w:id="13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FINANCIAL</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CORPORATION CANADA</w:t>
      </w:r>
      <w:r>
        <w:rPr>
          <w:rFonts w:ascii="Arial" w:cs="Arial" w:eastAsia="Arial" w:hAnsi="Arial"/>
          <w:sz w:val="16"/>
          <w:szCs w:val="16"/>
          <w:color w:val="auto"/>
        </w:rPr>
        <w:t>, a Nova Scotia,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Canada corporation, as Designated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Valade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Richard Valade, President</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Designated Lender of Wells Fargo Bank, 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2" w:name="page133"/>
    <w:bookmarkEnd w:id="13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AMEGY BANK, N.A.</w:t>
      </w:r>
      <w:r>
        <w:rPr>
          <w:rFonts w:ascii="Arial" w:cs="Arial" w:eastAsia="Arial" w:hAnsi="Arial"/>
          <w:sz w:val="18"/>
          <w:szCs w:val="18"/>
          <w:color w:val="auto"/>
        </w:rPr>
        <w:t>, as a Lender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L.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Daniel L. Cox, Senior Vice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3" w:name="page134"/>
    <w:bookmarkEnd w:id="13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w:t>
      </w:r>
      <w:r>
        <w:rPr>
          <w:rFonts w:ascii="Arial" w:cs="Arial" w:eastAsia="Arial" w:hAnsi="Arial"/>
          <w:sz w:val="16"/>
          <w:szCs w:val="16"/>
          <w:color w:val="auto"/>
        </w:rPr>
        <w:t>, as a Lender</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Jennifer Slabas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Jennifer Slabas,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111 W. Monroe - 5C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Telephone: (312) 461-2272</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 (312) 293-5811</w:t>
      </w:r>
    </w:p>
    <w:p>
      <w:pPr>
        <w:spacing w:after="0" w:line="9"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E-mail: jennifer.slabas@harrisbank.com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4" w:name="page135"/>
    <w:bookmarkEnd w:id="13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w:t>
      </w:r>
      <w:r>
        <w:rPr>
          <w:rFonts w:ascii="Arial" w:cs="Arial" w:eastAsia="Arial" w:hAnsi="Arial"/>
          <w:sz w:val="16"/>
          <w:szCs w:val="16"/>
          <w:color w:val="auto"/>
        </w:rPr>
        <w:t>, as a Lender</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Sean P. Gallaway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Sean P. Gallaway, Vice President</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Montreal</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Loan Products Group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4th Floor, 1 First Canadian Place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150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Toronto, Ontario M5X 1H3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4"/>
          <w:szCs w:val="14"/>
          <w:i w:val="1"/>
          <w:iCs w:val="1"/>
          <w:color w:val="auto"/>
        </w:rPr>
        <w:t>IGNATURE</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HIRD</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MENDED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ESTATED</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REDIT</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p>
    <w:p>
      <w:pPr>
        <w:sectPr>
          <w:pgSz w:w="11900" w:h="16838" w:orient="portrait"/>
          <w:cols w:equalWidth="0" w:num="1">
            <w:col w:w="9019"/>
          </w:cols>
          <w:pgMar w:left="1440" w:top="274"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AND ASSUMPTION</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Assignment and Assumption (the “Assignment and Assumption”) is dated as of the Closing Date set forth below and is entered into by and between [Insert name of Assignor] (the “Assignor”) and [Insert name of Assignee] (the “Assignee”). Capitalized terms used but not defined herein shall have the meanings given to them in the Credit Agreement identified below (as amended,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Closing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w:t>
      </w:r>
    </w:p>
    <w:p>
      <w:pPr>
        <w:spacing w:after="0" w:line="4" w:lineRule="exact"/>
        <w:rPr>
          <w:sz w:val="20"/>
          <w:szCs w:val="20"/>
          <w:color w:val="auto"/>
        </w:rPr>
      </w:pPr>
    </w:p>
    <w:p>
      <w:pPr>
        <w:jc w:val="both"/>
        <w:ind w:right="40" w:firstLine="8"/>
        <w:spacing w:after="0" w:line="255" w:lineRule="auto"/>
        <w:tabs>
          <w:tab w:leader="none" w:pos="21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w:t>
      </w:r>
    </w:p>
    <w:p>
      <w:pPr>
        <w:spacing w:after="0" w:line="212" w:lineRule="exact"/>
        <w:rPr>
          <w:sz w:val="20"/>
          <w:szCs w:val="20"/>
          <w:color w:val="auto"/>
        </w:rPr>
      </w:pPr>
    </w:p>
    <w:p>
      <w:pPr>
        <w:ind w:left="80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-280035</wp:posOffset>
            </wp:positionV>
            <wp:extent cx="54286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10795</wp:posOffset>
            </wp:positionV>
            <wp:extent cx="5428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225425</wp:posOffset>
            </wp:positionV>
            <wp:extent cx="54286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jc w:val="right"/>
              <w:ind w:right="252"/>
              <w:spacing w:after="0"/>
              <w:rPr>
                <w:sz w:val="20"/>
                <w:szCs w:val="20"/>
                <w:color w:val="auto"/>
              </w:rPr>
            </w:pPr>
            <w:r>
              <w:rPr>
                <w:rFonts w:ascii="Arial" w:cs="Arial" w:eastAsia="Arial" w:hAnsi="Arial"/>
                <w:sz w:val="18"/>
                <w:szCs w:val="18"/>
                <w:color w:val="auto"/>
                <w:w w:val="79"/>
              </w:rPr>
              <w:t>3.</w:t>
            </w:r>
          </w:p>
        </w:tc>
        <w:tc>
          <w:tcPr>
            <w:tcW w:w="2140" w:type="dxa"/>
            <w:vAlign w:val="bottom"/>
          </w:tcPr>
          <w:p>
            <w:pPr>
              <w:ind w:left="320"/>
              <w:spacing w:after="0"/>
              <w:rPr>
                <w:sz w:val="20"/>
                <w:szCs w:val="20"/>
                <w:color w:val="auto"/>
              </w:rPr>
            </w:pPr>
            <w:r>
              <w:rPr>
                <w:rFonts w:ascii="Arial" w:cs="Arial" w:eastAsia="Arial" w:hAnsi="Arial"/>
                <w:sz w:val="18"/>
                <w:szCs w:val="18"/>
                <w:color w:val="auto"/>
              </w:rPr>
              <w:t>Borrowers:</w:t>
            </w:r>
          </w:p>
        </w:tc>
        <w:tc>
          <w:tcPr>
            <w:tcW w:w="6500" w:type="dxa"/>
            <w:vAlign w:val="bottom"/>
          </w:tcPr>
          <w:p>
            <w:pPr>
              <w:ind w:left="260"/>
              <w:spacing w:after="0"/>
              <w:rPr>
                <w:sz w:val="20"/>
                <w:szCs w:val="20"/>
                <w:color w:val="auto"/>
              </w:rPr>
            </w:pPr>
            <w:r>
              <w:rPr>
                <w:rFonts w:ascii="Arial" w:cs="Arial" w:eastAsia="Arial" w:hAnsi="Arial"/>
                <w:sz w:val="18"/>
                <w:szCs w:val="18"/>
                <w:b w:val="1"/>
                <w:bCs w:val="1"/>
                <w:color w:val="auto"/>
              </w:rPr>
              <w:t>Matrix Service Company and the other Borrowers named therein</w:t>
            </w:r>
          </w:p>
        </w:tc>
      </w:tr>
      <w:tr>
        <w:trPr>
          <w:trHeight w:val="432"/>
        </w:trPr>
        <w:tc>
          <w:tcPr>
            <w:tcW w:w="480" w:type="dxa"/>
            <w:vAlign w:val="bottom"/>
          </w:tcPr>
          <w:p>
            <w:pPr>
              <w:jc w:val="right"/>
              <w:ind w:right="252"/>
              <w:spacing w:after="0"/>
              <w:rPr>
                <w:sz w:val="20"/>
                <w:szCs w:val="20"/>
                <w:color w:val="auto"/>
              </w:rPr>
            </w:pPr>
            <w:r>
              <w:rPr>
                <w:rFonts w:ascii="Arial" w:cs="Arial" w:eastAsia="Arial" w:hAnsi="Arial"/>
                <w:sz w:val="18"/>
                <w:szCs w:val="18"/>
                <w:color w:val="auto"/>
                <w:w w:val="79"/>
              </w:rPr>
              <w:t>4.</w:t>
            </w:r>
          </w:p>
        </w:tc>
        <w:tc>
          <w:tcPr>
            <w:tcW w:w="2140" w:type="dxa"/>
            <w:vAlign w:val="bottom"/>
          </w:tcPr>
          <w:p>
            <w:pPr>
              <w:ind w:left="320"/>
              <w:spacing w:after="0"/>
              <w:rPr>
                <w:sz w:val="20"/>
                <w:szCs w:val="20"/>
                <w:color w:val="auto"/>
              </w:rPr>
            </w:pPr>
            <w:r>
              <w:rPr>
                <w:rFonts w:ascii="Arial" w:cs="Arial" w:eastAsia="Arial" w:hAnsi="Arial"/>
                <w:sz w:val="18"/>
                <w:szCs w:val="18"/>
                <w:color w:val="auto"/>
              </w:rPr>
              <w:t>Administrative Agent:</w:t>
            </w:r>
          </w:p>
        </w:tc>
        <w:tc>
          <w:tcPr>
            <w:tcW w:w="6500" w:type="dxa"/>
            <w:vAlign w:val="bottom"/>
          </w:tcPr>
          <w:p>
            <w:pPr>
              <w:ind w:left="260"/>
              <w:spacing w:after="0"/>
              <w:rPr>
                <w:sz w:val="20"/>
                <w:szCs w:val="20"/>
                <w:color w:val="auto"/>
              </w:rPr>
            </w:pPr>
            <w:r>
              <w:rPr>
                <w:rFonts w:ascii="Arial" w:cs="Arial" w:eastAsia="Arial" w:hAnsi="Arial"/>
                <w:sz w:val="18"/>
                <w:szCs w:val="18"/>
                <w:b w:val="1"/>
                <w:bCs w:val="1"/>
                <w:color w:val="auto"/>
                <w:w w:val="89"/>
              </w:rPr>
              <w:t>JPMorgan Chase Bank, N.A.</w:t>
            </w:r>
            <w:r>
              <w:rPr>
                <w:rFonts w:ascii="Arial" w:cs="Arial" w:eastAsia="Arial" w:hAnsi="Arial"/>
                <w:sz w:val="18"/>
                <w:szCs w:val="18"/>
                <w:color w:val="auto"/>
                <w:w w:val="89"/>
              </w:rPr>
              <w:t>, as the Administrative Agent under the Credit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2"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22"/>
          <w:szCs w:val="22"/>
          <w:color w:val="auto"/>
          <w:vertAlign w:val="superscript"/>
        </w:rPr>
      </w:pPr>
      <w:r>
        <w:rPr>
          <w:rFonts w:ascii="Arial" w:cs="Arial" w:eastAsia="Arial" w:hAnsi="Arial"/>
          <w:sz w:val="18"/>
          <w:szCs w:val="18"/>
          <w:color w:val="auto"/>
        </w:rPr>
        <w:t>Select as applicable.</w:t>
      </w:r>
    </w:p>
    <w:p>
      <w:pPr>
        <w:sectPr>
          <w:pgSz w:w="11900" w:h="16838" w:orient="portrait"/>
          <w:cols w:equalWidth="0" w:num="1">
            <w:col w:w="11420"/>
          </w:cols>
          <w:pgMar w:left="240" w:top="27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52"/>
              <w:spacing w:after="0"/>
              <w:rPr>
                <w:sz w:val="20"/>
                <w:szCs w:val="20"/>
                <w:color w:val="auto"/>
              </w:rPr>
            </w:pPr>
            <w:r>
              <w:rPr>
                <w:rFonts w:ascii="Arial" w:cs="Arial" w:eastAsia="Arial" w:hAnsi="Arial"/>
                <w:sz w:val="18"/>
                <w:szCs w:val="18"/>
                <w:color w:val="auto"/>
                <w:w w:val="79"/>
              </w:rPr>
              <w:t>5.</w:t>
            </w:r>
          </w:p>
        </w:tc>
        <w:tc>
          <w:tcPr>
            <w:tcW w:w="2000" w:type="dxa"/>
            <w:vAlign w:val="bottom"/>
          </w:tcPr>
          <w:p>
            <w:pPr>
              <w:ind w:left="320"/>
              <w:spacing w:after="0"/>
              <w:rPr>
                <w:sz w:val="20"/>
                <w:szCs w:val="20"/>
                <w:color w:val="auto"/>
              </w:rPr>
            </w:pPr>
            <w:r>
              <w:rPr>
                <w:rFonts w:ascii="Arial" w:cs="Arial" w:eastAsia="Arial" w:hAnsi="Arial"/>
                <w:sz w:val="18"/>
                <w:szCs w:val="18"/>
                <w:color w:val="auto"/>
              </w:rPr>
              <w:t>Credit Agreement:</w:t>
            </w:r>
          </w:p>
        </w:tc>
        <w:tc>
          <w:tcPr>
            <w:tcW w:w="8860" w:type="dxa"/>
            <w:vAlign w:val="bottom"/>
          </w:tcPr>
          <w:p>
            <w:pPr>
              <w:ind w:left="400"/>
              <w:spacing w:after="0"/>
              <w:rPr>
                <w:sz w:val="20"/>
                <w:szCs w:val="20"/>
                <w:color w:val="auto"/>
              </w:rPr>
            </w:pPr>
            <w:r>
              <w:rPr>
                <w:rFonts w:ascii="Arial" w:cs="Arial" w:eastAsia="Arial" w:hAnsi="Arial"/>
                <w:sz w:val="18"/>
                <w:szCs w:val="18"/>
                <w:color w:val="auto"/>
                <w:w w:val="87"/>
              </w:rPr>
              <w:t>The Third Amended and Restated Credit Agreement dated as of November 7, 2011 among Matrix Service Company, the</w:t>
            </w:r>
          </w:p>
        </w:tc>
      </w:tr>
      <w:tr>
        <w:trPr>
          <w:trHeight w:val="216"/>
        </w:trPr>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w w:val="89"/>
              </w:rPr>
              <w:t>other Borrowers party thereto, the Lenders parties thereto, JPMorgan Chase Bank, N.A., as Administrative Agent, and</w:t>
            </w:r>
          </w:p>
        </w:tc>
      </w:tr>
      <w:tr>
        <w:trPr>
          <w:trHeight w:val="222"/>
        </w:trPr>
        <w:tc>
          <w:tcPr>
            <w:tcW w:w="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the other parties thereto.</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00" w:right="9260" w:hanging="792"/>
        <w:spacing w:after="0" w:line="590" w:lineRule="auto"/>
        <w:tabs>
          <w:tab w:leader="none" w:pos="80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Assigned Interest: For all Interests</w:t>
      </w: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Aggregate Amount of</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w:t>
            </w: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Amount of Revolving</w:t>
            </w:r>
          </w:p>
        </w:tc>
        <w:tc>
          <w:tcPr>
            <w:tcW w:w="1520" w:type="dxa"/>
            <w:vAlign w:val="bottom"/>
            <w:gridSpan w:val="2"/>
          </w:tcPr>
          <w:p>
            <w:pPr>
              <w:spacing w:after="0" w:line="149" w:lineRule="exact"/>
              <w:rPr>
                <w:sz w:val="20"/>
                <w:szCs w:val="20"/>
                <w:color w:val="auto"/>
              </w:rPr>
            </w:pPr>
            <w:r>
              <w:rPr>
                <w:rFonts w:ascii="Arial" w:cs="Arial" w:eastAsia="Arial" w:hAnsi="Arial"/>
                <w:sz w:val="14"/>
                <w:szCs w:val="14"/>
                <w:color w:val="auto"/>
              </w:rPr>
              <w:t>Percentage Assigned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Commitment/Revolving</w:t>
            </w: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52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w:t>
            </w: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w w:val="88"/>
              </w:rPr>
              <w:t>Facility Assigned</w:t>
            </w:r>
            <w:r>
              <w:rPr>
                <w:rFonts w:ascii="Arial" w:cs="Arial" w:eastAsia="Arial" w:hAnsi="Arial"/>
                <w:sz w:val="22"/>
                <w:szCs w:val="22"/>
                <w:color w:val="auto"/>
                <w:w w:val="88"/>
                <w:vertAlign w:val="superscript"/>
              </w:rPr>
              <w:t>2</w:t>
            </w:r>
          </w:p>
        </w:tc>
        <w:tc>
          <w:tcPr>
            <w:tcW w:w="2220" w:type="dxa"/>
            <w:vAlign w:val="bottom"/>
          </w:tcPr>
          <w:p>
            <w:pPr>
              <w:spacing w:after="0"/>
              <w:rPr>
                <w:sz w:val="11"/>
                <w:szCs w:val="11"/>
                <w:color w:val="auto"/>
              </w:rPr>
            </w:pPr>
          </w:p>
        </w:tc>
        <w:tc>
          <w:tcPr>
            <w:tcW w:w="2260" w:type="dxa"/>
            <w:vAlign w:val="bottom"/>
            <w:gridSpan w:val="2"/>
          </w:tcPr>
          <w:p>
            <w:pPr>
              <w:spacing w:after="0" w:line="133" w:lineRule="exact"/>
              <w:rPr>
                <w:sz w:val="20"/>
                <w:szCs w:val="20"/>
                <w:color w:val="auto"/>
              </w:rPr>
            </w:pPr>
            <w:r>
              <w:rPr>
                <w:rFonts w:ascii="Arial" w:cs="Arial" w:eastAsia="Arial" w:hAnsi="Arial"/>
                <w:sz w:val="14"/>
                <w:szCs w:val="14"/>
                <w:color w:val="auto"/>
              </w:rPr>
              <w:t>Loans for all the</w:t>
            </w:r>
          </w:p>
        </w:tc>
        <w:tc>
          <w:tcPr>
            <w:tcW w:w="2260" w:type="dxa"/>
            <w:vAlign w:val="bottom"/>
            <w:gridSpan w:val="2"/>
          </w:tcPr>
          <w:p>
            <w:pPr>
              <w:spacing w:after="0" w:line="133" w:lineRule="exact"/>
              <w:rPr>
                <w:sz w:val="20"/>
                <w:szCs w:val="20"/>
                <w:color w:val="auto"/>
              </w:rPr>
            </w:pPr>
            <w:r>
              <w:rPr>
                <w:rFonts w:ascii="Arial" w:cs="Arial" w:eastAsia="Arial" w:hAnsi="Arial"/>
                <w:sz w:val="14"/>
                <w:szCs w:val="14"/>
                <w:color w:val="auto"/>
              </w:rPr>
              <w:t>Commitment/Revolving</w:t>
            </w:r>
          </w:p>
        </w:tc>
        <w:tc>
          <w:tcPr>
            <w:tcW w:w="1520" w:type="dxa"/>
            <w:vAlign w:val="bottom"/>
            <w:gridSpan w:val="2"/>
          </w:tcPr>
          <w:p>
            <w:pPr>
              <w:spacing w:after="0" w:line="133" w:lineRule="exact"/>
              <w:rPr>
                <w:sz w:val="20"/>
                <w:szCs w:val="20"/>
                <w:color w:val="auto"/>
              </w:rPr>
            </w:pPr>
            <w:r>
              <w:rPr>
                <w:rFonts w:ascii="Arial" w:cs="Arial" w:eastAsia="Arial" w:hAnsi="Arial"/>
                <w:sz w:val="14"/>
                <w:szCs w:val="14"/>
                <w:color w:val="auto"/>
              </w:rPr>
              <w:t>Commitment/Revolving</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Lenders</w:t>
            </w:r>
          </w:p>
        </w:tc>
        <w:tc>
          <w:tcPr>
            <w:tcW w:w="2260" w:type="dxa"/>
            <w:vAlign w:val="bottom"/>
            <w:gridSpan w:val="2"/>
          </w:tcPr>
          <w:p>
            <w:pPr>
              <w:spacing w:after="0"/>
              <w:rPr>
                <w:sz w:val="20"/>
                <w:szCs w:val="20"/>
                <w:color w:val="auto"/>
              </w:rPr>
            </w:pPr>
            <w:r>
              <w:rPr>
                <w:rFonts w:ascii="Arial" w:cs="Arial" w:eastAsia="Arial" w:hAnsi="Arial"/>
                <w:sz w:val="14"/>
                <w:szCs w:val="14"/>
                <w:color w:val="auto"/>
              </w:rPr>
              <w:t>Loans Assigned</w:t>
            </w:r>
          </w:p>
        </w:tc>
        <w:tc>
          <w:tcPr>
            <w:tcW w:w="1520" w:type="dxa"/>
            <w:vAlign w:val="bottom"/>
            <w:gridSpan w:val="2"/>
          </w:tcPr>
          <w:p>
            <w:pPr>
              <w:spacing w:after="0" w:line="162" w:lineRule="exact"/>
              <w:rPr>
                <w:sz w:val="20"/>
                <w:szCs w:val="20"/>
                <w:color w:val="auto"/>
              </w:rPr>
            </w:pPr>
            <w:r>
              <w:rPr>
                <w:rFonts w:ascii="Arial" w:cs="Arial" w:eastAsia="Arial" w:hAnsi="Arial"/>
                <w:sz w:val="12"/>
                <w:szCs w:val="12"/>
                <w:color w:val="auto"/>
              </w:rPr>
              <w:t>Loans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146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 20</w:t>
            </w:r>
          </w:p>
        </w:tc>
        <w:tc>
          <w:tcPr>
            <w:tcW w:w="8260" w:type="dxa"/>
            <w:vAlign w:val="bottom"/>
            <w:gridSpan w:val="7"/>
          </w:tcPr>
          <w:p>
            <w:pPr>
              <w:ind w:left="100"/>
              <w:spacing w:after="0"/>
              <w:rPr>
                <w:sz w:val="20"/>
                <w:szCs w:val="20"/>
                <w:color w:val="auto"/>
              </w:rPr>
            </w:pPr>
            <w:r>
              <w:rPr>
                <w:rFonts w:ascii="Arial" w:cs="Arial" w:eastAsia="Arial" w:hAnsi="Arial"/>
                <w:sz w:val="18"/>
                <w:szCs w:val="18"/>
                <w:color w:val="auto"/>
                <w:w w:val="97"/>
              </w:rPr>
              <w:t>[TO BE INSERTED BY ADMINISTRATIVE AGENT AND WHICH SHALL BE THE EFFECTIVE DATE OF</w:t>
            </w:r>
          </w:p>
        </w:tc>
        <w:tc>
          <w:tcPr>
            <w:tcW w:w="0" w:type="dxa"/>
            <w:vAlign w:val="bottom"/>
          </w:tcPr>
          <w:p>
            <w:pPr>
              <w:spacing w:after="0"/>
              <w:rPr>
                <w:sz w:val="1"/>
                <w:szCs w:val="1"/>
                <w:color w:val="auto"/>
              </w:rPr>
            </w:pPr>
          </w:p>
        </w:tc>
      </w:tr>
      <w:tr>
        <w:trPr>
          <w:trHeight w:val="222"/>
        </w:trPr>
        <w:tc>
          <w:tcPr>
            <w:tcW w:w="6720" w:type="dxa"/>
            <w:vAlign w:val="bottom"/>
            <w:gridSpan w:val="7"/>
          </w:tcPr>
          <w:p>
            <w:pPr>
              <w:spacing w:after="0"/>
              <w:rPr>
                <w:sz w:val="20"/>
                <w:szCs w:val="20"/>
                <w:color w:val="auto"/>
              </w:rPr>
            </w:pPr>
            <w:r>
              <w:rPr>
                <w:rFonts w:ascii="Arial" w:cs="Arial" w:eastAsia="Arial" w:hAnsi="Arial"/>
                <w:sz w:val="18"/>
                <w:szCs w:val="18"/>
                <w:color w:val="auto"/>
              </w:rPr>
              <w:t>RECORDATION OF TRANSFER IN THE REGISTER THEREFOR.]</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Fill in the appropriate terminology for the types of facilities under the Credit Agreement that are being assigned under this Assignment (e.g. “Revolving Commitment,” “Swingline Loan,” “Letters of Credit; “Swap Agreements,” etc.)</w:t>
      </w:r>
    </w:p>
    <w:p>
      <w:pPr>
        <w:spacing w:after="0"/>
        <w:rPr>
          <w:sz w:val="20"/>
          <w:szCs w:val="20"/>
          <w:color w:val="auto"/>
        </w:rPr>
      </w:pPr>
      <w:r>
        <w:rPr>
          <w:rFonts w:ascii="Arial" w:cs="Arial" w:eastAsia="Arial" w:hAnsi="Arial"/>
          <w:sz w:val="18"/>
          <w:szCs w:val="18"/>
          <w:color w:val="auto"/>
        </w:rPr>
        <w:t>Set forth, to at least 9 decimals, as a percentage of the Revolving Commitments/Revolving Loans of all the Lenders thereunder.</w:t>
      </w:r>
    </w:p>
    <w:p>
      <w:pPr>
        <w:sectPr>
          <w:pgSz w:w="11900" w:h="16838" w:orient="portrait"/>
          <w:cols w:equalWidth="0" w:num="2">
            <w:col w:w="60" w:space="400"/>
            <w:col w:w="10880"/>
          </w:cols>
          <w:pgMar w:left="240" w:top="280" w:right="31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Assumption are hereby agreed to:</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OF ASSIGNOR]</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OF ASSIGNEE]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9759"/>
          </w:cols>
          <w:pgMar w:left="700" w:top="280" w:right="1440"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1"/>
          <w:szCs w:val="11"/>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ADMINISTRATIVE AGENT], as Administrative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11" w:lineRule="exact"/>
        <w:rPr>
          <w:sz w:val="20"/>
          <w:szCs w:val="20"/>
          <w:color w:val="auto"/>
        </w:rPr>
      </w:pPr>
    </w:p>
    <w:p>
      <w:pPr>
        <w:ind w:left="460" w:hanging="452"/>
        <w:spacing w:after="0" w:line="228" w:lineRule="auto"/>
        <w:tabs>
          <w:tab w:leader="none" w:pos="460" w:val="left"/>
        </w:tabs>
        <w:numPr>
          <w:ilvl w:val="0"/>
          <w:numId w:val="143"/>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Borrower and/or other parties (e.g. Swingline Lender, Issuing Bank) is required by the terms of the Credit Agreement.</w:t>
      </w:r>
    </w:p>
    <w:p>
      <w:pPr>
        <w:sectPr>
          <w:pgSz w:w="11900" w:h="16838" w:orient="portrait"/>
          <w:cols w:equalWidth="0" w:num="1">
            <w:col w:w="10580"/>
          </w:cols>
          <w:pgMar w:left="240" w:top="280" w:right="10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7, 2011, as amended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65" w:lineRule="exact"/>
        <w:rPr>
          <w:sz w:val="20"/>
          <w:szCs w:val="20"/>
          <w:color w:val="auto"/>
        </w:rPr>
      </w:pPr>
    </w:p>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w:t>
      </w:r>
    </w:p>
    <w:p>
      <w:pPr>
        <w:spacing w:after="0" w:line="1" w:lineRule="exact"/>
        <w:rPr>
          <w:sz w:val="20"/>
          <w:szCs w:val="20"/>
          <w:color w:val="auto"/>
        </w:rPr>
      </w:pPr>
    </w:p>
    <w:p>
      <w:pPr>
        <w:ind w:right="80" w:firstLine="8"/>
        <w:spacing w:after="0" w:line="286" w:lineRule="auto"/>
        <w:tabs>
          <w:tab w:leader="none" w:pos="3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5.01(a) and (b)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4" w:lineRule="exact"/>
        <w:rPr>
          <w:sz w:val="20"/>
          <w:szCs w:val="20"/>
          <w:color w:val="auto"/>
        </w:rPr>
      </w:pPr>
    </w:p>
    <w:p>
      <w:pPr>
        <w:ind w:right="160" w:firstLine="8"/>
        <w:spacing w:after="0" w:line="259" w:lineRule="auto"/>
        <w:tabs>
          <w:tab w:leader="none" w:pos="17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1420"/>
          </w:cols>
          <w:pgMar w:left="240" w:top="280" w:right="239" w:bottom="1440" w:gutter="0" w:footer="0" w:header="0"/>
        </w:sectPr>
      </w:pPr>
    </w:p>
    <w:bookmarkStart w:id="140" w:name="page141"/>
    <w:bookmarkEnd w:id="140"/>
    <w:p>
      <w:pPr>
        <w:ind w:left="-8" w:firstLine="8"/>
        <w:spacing w:after="0" w:line="298" w:lineRule="auto"/>
        <w:tabs>
          <w:tab w:leader="none" w:pos="168"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Oklahoma.</w:t>
      </w:r>
    </w:p>
    <w:p>
      <w:pPr>
        <w:sectPr>
          <w:pgSz w:w="11900" w:h="16838" w:orient="portrait"/>
          <w:cols w:equalWidth="0" w:num="1">
            <w:col w:w="11312"/>
          </w:cols>
          <w:pgMar w:left="248" w:top="280"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Opinion of Counsel)</w:t>
      </w:r>
    </w:p>
    <w:p>
      <w:pPr>
        <w:sectPr>
          <w:pgSz w:w="11900" w:h="16838" w:orient="portrait"/>
          <w:cols w:equalWidth="0" w:num="1">
            <w:col w:w="9019"/>
          </w:cols>
          <w:pgMar w:left="1440" w:top="274"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Lenders parties to the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Described Below</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Compliance Certificate is furnished pursuant to that certain Third Amended and Restated Credit Agreement dated as of November 7, 2011 (as amended, modified, renewed or extended from time to time, the “Agreement”) among Matrix Service Company, a Delaware corporation (the “Company”), the other Borrowers party thereto, the Lenders party thereto and JPMorgan Chase Bank, N.A., as Administrative Agent for the Lenders and as Issuing Bank. Unless otherwise defined herein, capitalized terms used in this Compliance Certificate have the meanings ascribed thereto in the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CERTIFIES THAT:</w:t>
      </w:r>
    </w:p>
    <w:p>
      <w:pPr>
        <w:spacing w:after="0" w:line="171" w:lineRule="exact"/>
        <w:rPr>
          <w:sz w:val="20"/>
          <w:szCs w:val="20"/>
          <w:color w:val="auto"/>
        </w:rPr>
      </w:pPr>
    </w:p>
    <w:p>
      <w:pPr>
        <w:ind w:left="640" w:hanging="17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am the duly elected chief financial officer of the Company;</w:t>
      </w:r>
    </w:p>
    <w:p>
      <w:pPr>
        <w:spacing w:after="0" w:line="171" w:lineRule="exact"/>
        <w:rPr>
          <w:rFonts w:ascii="Arial" w:cs="Arial" w:eastAsia="Arial" w:hAnsi="Arial"/>
          <w:sz w:val="18"/>
          <w:szCs w:val="18"/>
          <w:color w:val="auto"/>
        </w:rPr>
      </w:pPr>
    </w:p>
    <w:p>
      <w:pPr>
        <w:ind w:right="40" w:firstLine="464"/>
        <w:spacing w:after="0" w:line="332" w:lineRule="auto"/>
        <w:tabs>
          <w:tab w:leader="none" w:pos="6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w:t>
      </w:r>
    </w:p>
    <w:p>
      <w:pPr>
        <w:spacing w:after="0" w:line="85" w:lineRule="exact"/>
        <w:rPr>
          <w:rFonts w:ascii="Arial" w:cs="Arial" w:eastAsia="Arial" w:hAnsi="Arial"/>
          <w:sz w:val="16"/>
          <w:szCs w:val="16"/>
          <w:color w:val="auto"/>
        </w:rPr>
      </w:pPr>
    </w:p>
    <w:p>
      <w:pPr>
        <w:ind w:right="160" w:firstLine="464"/>
        <w:spacing w:after="0" w:line="259"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examinations described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did not disclose, and I have no knowledge of, the existence of any condition or event which constitutes a Default or Event of Default during or at the end of the accounting period covered by the attached financial statements or as of the date of this Certificate, except as set forth below;</w:t>
      </w:r>
    </w:p>
    <w:p>
      <w:pPr>
        <w:spacing w:after="0" w:line="140" w:lineRule="exact"/>
        <w:rPr>
          <w:rFonts w:ascii="Arial" w:cs="Arial" w:eastAsia="Arial" w:hAnsi="Arial"/>
          <w:sz w:val="18"/>
          <w:szCs w:val="18"/>
          <w:color w:val="auto"/>
        </w:rPr>
      </w:pPr>
    </w:p>
    <w:p>
      <w:pPr>
        <w:ind w:firstLine="464"/>
        <w:spacing w:after="0" w:line="268"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the Borrowers’ compliance with certain covenants of the Agreement, all of which data and computations are true, complete and correct;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sets forth the determination of the interest rates and other rates listed therein; and</w:t>
      </w:r>
    </w:p>
    <w:p>
      <w:pPr>
        <w:spacing w:after="0" w:line="171" w:lineRule="exact"/>
        <w:rPr>
          <w:rFonts w:ascii="Arial" w:cs="Arial" w:eastAsia="Arial" w:hAnsi="Arial"/>
          <w:sz w:val="18"/>
          <w:szCs w:val="18"/>
          <w:color w:val="auto"/>
        </w:rPr>
      </w:pPr>
    </w:p>
    <w:p>
      <w:pPr>
        <w:ind w:right="640" w:firstLine="464"/>
        <w:spacing w:after="0" w:line="268"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sets forth the various reports and deliveries which are required at this time under the Agreement and the other Loan Documents and the status of compliance.</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Described below are the exceptions, if any, to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by listing, in detail, the nature of the condition or event, the period during which it has existed and the action which the Borrowers have taken, are taking, or propose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222250</wp:posOffset>
            </wp:positionV>
            <wp:extent cx="69551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513715</wp:posOffset>
            </wp:positionV>
            <wp:extent cx="69551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805815</wp:posOffset>
            </wp:positionV>
            <wp:extent cx="69551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43" w:name="page144"/>
    <w:bookmarkEnd w:id="1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320675</wp:posOffset>
            </wp:positionV>
            <wp:extent cx="69551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55155" cy="8890"/>
                    </a:xfrm>
                    <a:prstGeom prst="rect">
                      <a:avLst/>
                    </a:prstGeom>
                    <a:noFill/>
                  </pic:spPr>
                </pic:pic>
              </a:graphicData>
            </a:graphic>
          </wp:anchor>
        </w:drawing>
        <w:t xml:space="preserve">The foregoing certifications, together with the computations set forth in </w:t>
      </w:r>
      <w:r>
        <w:rPr>
          <w:rFonts w:ascii="Arial" w:cs="Arial" w:eastAsia="Arial" w:hAnsi="Arial"/>
          <w:sz w:val="16"/>
          <w:szCs w:val="16"/>
          <w:u w:val="single" w:color="auto"/>
          <w:color w:val="auto"/>
        </w:rPr>
        <w:t>Schedules I,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hereto and the financial statements delivered with this</w:t>
      </w:r>
    </w:p>
    <w:p>
      <w:pPr>
        <w:spacing w:after="0" w:line="38" w:lineRule="exact"/>
        <w:rPr>
          <w:sz w:val="20"/>
          <w:szCs w:val="20"/>
          <w:color w:val="auto"/>
        </w:rPr>
      </w:pPr>
    </w:p>
    <w:p>
      <w:pPr>
        <w:spacing w:after="0"/>
        <w:tabs>
          <w:tab w:leader="none" w:pos="4260" w:val="left"/>
          <w:tab w:leader="none" w:pos="5260" w:val="left"/>
          <w:tab w:leader="none" w:pos="5700" w:val="left"/>
        </w:tabs>
        <w:rPr>
          <w:sz w:val="20"/>
          <w:szCs w:val="20"/>
          <w:color w:val="auto"/>
        </w:rPr>
      </w:pPr>
      <w:r>
        <w:rPr>
          <w:rFonts w:ascii="Arial" w:cs="Arial" w:eastAsia="Arial" w:hAnsi="Arial"/>
          <w:sz w:val="18"/>
          <w:szCs w:val="18"/>
          <w:color w:val="auto"/>
        </w:rPr>
        <w:t>Certificate in support hereof, are made and delivered this</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273050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MATRIX SERVICE COMPANY</w:t>
      </w:r>
    </w:p>
    <w:p>
      <w:pPr>
        <w:sectPr>
          <w:pgSz w:w="11900" w:h="16838" w:orient="portrait"/>
          <w:cols w:equalWidth="0" w:num="1">
            <w:col w:w="10900"/>
          </w:cols>
          <w:pgMar w:left="240" w:top="685" w:right="759" w:bottom="1440" w:gutter="0" w:footer="0" w:header="0"/>
        </w:sectPr>
      </w:pPr>
    </w:p>
    <w:bookmarkStart w:id="144" w:name="page145"/>
    <w:bookmarkEnd w:id="144"/>
    <w:p>
      <w:pPr>
        <w:jc w:val="center"/>
        <w:ind w:right="-121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COMPLIANCE CERTIFICATE</w:t>
      </w:r>
    </w:p>
    <w:p>
      <w:pPr>
        <w:spacing w:after="0" w:line="200" w:lineRule="exact"/>
        <w:rPr>
          <w:sz w:val="20"/>
          <w:szCs w:val="20"/>
          <w:color w:val="auto"/>
        </w:rPr>
      </w:pPr>
    </w:p>
    <w:p>
      <w:pPr>
        <w:ind w:left="4132"/>
        <w:spacing w:after="0"/>
        <w:tabs>
          <w:tab w:leader="none" w:pos="5912" w:val="left"/>
          <w:tab w:leader="none" w:pos="6432" w:val="left"/>
        </w:tabs>
        <w:rPr>
          <w:sz w:val="20"/>
          <w:szCs w:val="20"/>
          <w:color w:val="auto"/>
        </w:rPr>
      </w:pPr>
      <w:r>
        <w:rPr>
          <w:rFonts w:ascii="Arial" w:cs="Arial" w:eastAsia="Arial" w:hAnsi="Arial"/>
          <w:sz w:val="18"/>
          <w:szCs w:val="18"/>
          <w:color w:val="auto"/>
        </w:rPr>
        <w:t>Compliance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with certain</w:t>
      </w:r>
    </w:p>
    <w:p>
      <w:pPr>
        <w:spacing w:after="0" w:line="15" w:lineRule="exact"/>
        <w:rPr>
          <w:sz w:val="20"/>
          <w:szCs w:val="20"/>
          <w:color w:val="auto"/>
        </w:rPr>
      </w:pPr>
    </w:p>
    <w:p>
      <w:pPr>
        <w:ind w:left="4692"/>
        <w:spacing w:after="0"/>
        <w:rPr>
          <w:sz w:val="20"/>
          <w:szCs w:val="20"/>
          <w:color w:val="auto"/>
        </w:rPr>
      </w:pPr>
      <w:r>
        <w:rPr>
          <w:rFonts w:ascii="Arial" w:cs="Arial" w:eastAsia="Arial" w:hAnsi="Arial"/>
          <w:sz w:val="18"/>
          <w:szCs w:val="18"/>
          <w:color w:val="auto"/>
        </w:rPr>
        <w:t>Provisions of the Agreement</w:t>
      </w:r>
    </w:p>
    <w:p>
      <w:pPr>
        <w:spacing w:after="0" w:line="165" w:lineRule="exact"/>
        <w:rPr>
          <w:sz w:val="20"/>
          <w:szCs w:val="20"/>
          <w:color w:val="auto"/>
        </w:rPr>
      </w:pPr>
    </w:p>
    <w:p>
      <w:pPr>
        <w:ind w:left="4692"/>
        <w:spacing w:after="0"/>
        <w:rPr>
          <w:sz w:val="20"/>
          <w:szCs w:val="20"/>
          <w:color w:val="auto"/>
        </w:rPr>
      </w:pPr>
      <w:r>
        <w:rPr>
          <w:rFonts w:ascii="Arial" w:cs="Arial" w:eastAsia="Arial" w:hAnsi="Arial"/>
          <w:sz w:val="18"/>
          <w:szCs w:val="18"/>
          <w:color w:val="auto"/>
        </w:rPr>
        <w:t>All Calculations Below as of</w:t>
      </w:r>
    </w:p>
    <w:p>
      <w:pPr>
        <w:spacing w:after="0" w:line="15" w:lineRule="exact"/>
        <w:rPr>
          <w:sz w:val="20"/>
          <w:szCs w:val="20"/>
          <w:color w:val="auto"/>
        </w:rPr>
      </w:pPr>
    </w:p>
    <w:p>
      <w:pPr>
        <w:ind w:left="5472"/>
        <w:spacing w:after="0"/>
        <w:tabs>
          <w:tab w:leader="none" w:pos="5972"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Except</w:t>
      </w:r>
    </w:p>
    <w:p>
      <w:pPr>
        <w:spacing w:after="0" w:line="381" w:lineRule="exact"/>
        <w:rPr>
          <w:sz w:val="20"/>
          <w:szCs w:val="20"/>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Detailed Calculation of Consolidated EBITDA for Fiscal Year to Date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Detailed Calculation of Foreign Subsidiary EBITDA for Fiscal Year to Date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Detailed Calculation of Consolidated EBITDA for Previous Four Fiscal Quarters</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Detailed Calculation of Foreign Subsidiary EBITDA for Previous Four Fiscal Quarters</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Detailed Calculation of Consolidated EBITDA for the most recently ended calendar quarter</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Detailed Calculation of Foreign Subsidiary EBITDA for the most recently ended calendar quarter</w:t>
      </w:r>
    </w:p>
    <w:p>
      <w:pPr>
        <w:sectPr>
          <w:pgSz w:w="11900" w:h="16838" w:orient="portrait"/>
          <w:cols w:equalWidth="0" w:num="1">
            <w:col w:w="10211"/>
          </w:cols>
          <w:pgMar w:left="248" w:top="274" w:right="1440" w:bottom="1440" w:gutter="0" w:footer="0" w:header="0"/>
        </w:sectPr>
      </w:pPr>
    </w:p>
    <w:bookmarkStart w:id="145" w:name="page146"/>
    <w:bookmarkEnd w:id="145"/>
    <w:p>
      <w:pPr>
        <w:ind w:left="452" w:right="6620" w:hanging="452"/>
        <w:spacing w:after="0" w:line="438" w:lineRule="auto"/>
        <w:tabs>
          <w:tab w:leader="none" w:pos="171"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Total Assets of the Company and its Subsidiaries: $ Total Assets of Foreign Subsidiaries: $</w:t>
      </w:r>
    </w:p>
    <w:p>
      <w:pPr>
        <w:ind w:left="452"/>
        <w:spacing w:after="0"/>
        <w:rPr>
          <w:rFonts w:ascii="Arial" w:cs="Arial" w:eastAsia="Arial" w:hAnsi="Arial"/>
          <w:sz w:val="18"/>
          <w:szCs w:val="18"/>
          <w:color w:val="auto"/>
        </w:rPr>
      </w:pPr>
      <w:r>
        <w:rPr>
          <w:rFonts w:ascii="Arial" w:cs="Arial" w:eastAsia="Arial" w:hAnsi="Arial"/>
          <w:sz w:val="18"/>
          <w:szCs w:val="18"/>
          <w:color w:val="auto"/>
        </w:rPr>
        <w:t>Ratio of Total Assets of Foreign Subsidiaries to Consolidated Total Assets:   %</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Foreign Subsidiary EBITDA for Previous Four Fiscal Quarters: $</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Consolidated EBITDA for Previous Four Fiscal Quarters: $</w:t>
      </w:r>
    </w:p>
    <w:p>
      <w:pPr>
        <w:spacing w:after="0" w:line="171" w:lineRule="exact"/>
        <w:rPr>
          <w:sz w:val="20"/>
          <w:szCs w:val="20"/>
          <w:color w:val="auto"/>
        </w:rPr>
      </w:pPr>
    </w:p>
    <w:p>
      <w:pPr>
        <w:ind w:left="452"/>
        <w:spacing w:after="0"/>
        <w:tabs>
          <w:tab w:leader="none" w:pos="5192" w:val="left"/>
        </w:tabs>
        <w:rPr>
          <w:sz w:val="20"/>
          <w:szCs w:val="20"/>
          <w:color w:val="auto"/>
        </w:rPr>
      </w:pPr>
      <w:r>
        <w:rPr>
          <w:rFonts w:ascii="Arial" w:cs="Arial" w:eastAsia="Arial" w:hAnsi="Arial"/>
          <w:sz w:val="16"/>
          <w:szCs w:val="16"/>
          <w:color w:val="auto"/>
        </w:rPr>
        <w:t>Ratio of Foreign Subsidiary EBITDA to Consolidated EBITDA:</w:t>
      </w:r>
      <w:r>
        <w:rPr>
          <w:sz w:val="20"/>
          <w:szCs w:val="20"/>
          <w:color w:val="auto"/>
        </w:rPr>
        <w:tab/>
      </w:r>
      <w:r>
        <w:rPr>
          <w:rFonts w:ascii="Arial" w:cs="Arial" w:eastAsia="Arial" w:hAnsi="Arial"/>
          <w:sz w:val="15"/>
          <w:szCs w:val="15"/>
          <w:color w:val="auto"/>
        </w:rPr>
        <w:t>%</w:t>
      </w:r>
    </w:p>
    <w:p>
      <w:pPr>
        <w:spacing w:after="0" w:line="19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 equal to or greater than 15%, advise of election:</w:t>
      </w:r>
    </w:p>
    <w:p>
      <w:pPr>
        <w:spacing w:after="0" w:line="90" w:lineRule="exact"/>
        <w:rPr>
          <w:sz w:val="20"/>
          <w:szCs w:val="20"/>
          <w:color w:val="auto"/>
        </w:rPr>
      </w:pPr>
    </w:p>
    <w:p>
      <w:pPr>
        <w:ind w:left="972"/>
        <w:spacing w:after="0" w:line="268" w:lineRule="auto"/>
        <w:rPr>
          <w:sz w:val="20"/>
          <w:szCs w:val="20"/>
          <w:color w:val="auto"/>
        </w:rPr>
      </w:pPr>
      <w:r>
        <w:rPr>
          <w:rFonts w:ascii="Arial" w:cs="Arial" w:eastAsia="Arial" w:hAnsi="Arial"/>
          <w:sz w:val="18"/>
          <w:szCs w:val="18"/>
          <w:color w:val="auto"/>
        </w:rPr>
        <w:t>Consolidated EBITDA to be calculated by deducting an amount equal to Foreign Subsidiary EBITDA for purposes of Fixed Charge Coverage Ratio and Senior Leverage Ratio</w:t>
      </w:r>
    </w:p>
    <w:p>
      <w:pPr>
        <w:spacing w:after="0" w:line="5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Applicable Persons to Provide Documents and Instruments, Etc. Required Under Sections 5.09(c) and (d)</w:t>
      </w:r>
    </w:p>
    <w:p>
      <w:pPr>
        <w:spacing w:after="0" w:line="171" w:lineRule="exact"/>
        <w:rPr>
          <w:sz w:val="20"/>
          <w:szCs w:val="20"/>
          <w:color w:val="auto"/>
        </w:rPr>
      </w:pPr>
    </w:p>
    <w:p>
      <w:pPr>
        <w:ind w:left="172" w:hanging="172"/>
        <w:spacing w:after="0"/>
        <w:tabs>
          <w:tab w:leader="none" w:pos="17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Detailed Calculation of Senior Leverage Ratio</w:t>
      </w:r>
    </w:p>
    <w:p>
      <w:pPr>
        <w:spacing w:after="0" w:line="171" w:lineRule="exact"/>
        <w:rPr>
          <w:rFonts w:ascii="Arial" w:cs="Arial" w:eastAsia="Arial" w:hAnsi="Arial"/>
          <w:sz w:val="18"/>
          <w:szCs w:val="18"/>
          <w:color w:val="auto"/>
        </w:rPr>
      </w:pPr>
    </w:p>
    <w:p>
      <w:pPr>
        <w:ind w:left="272" w:hanging="272"/>
        <w:spacing w:after="0"/>
        <w:tabs>
          <w:tab w:leader="none" w:pos="27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Detailed Calculation of Fixed Charge Coverage Ratio</w:t>
      </w:r>
    </w:p>
    <w:p>
      <w:pPr>
        <w:sectPr>
          <w:pgSz w:w="11900" w:h="16838" w:orient="portrait"/>
          <w:cols w:equalWidth="0" w:num="1">
            <w:col w:w="11392"/>
          </w:cols>
          <w:pgMar w:left="248" w:top="280"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 to Compliance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and Other Rates</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862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4"/>
          <w:szCs w:val="14"/>
          <w:color w:val="auto"/>
        </w:rPr>
        <w:t>Actual Results: Senior Leverage Ratio:</w:t>
      </w:r>
    </w:p>
    <w:p>
      <w:pPr>
        <w:ind w:left="4540"/>
        <w:spacing w:after="0" w:line="219" w:lineRule="auto"/>
        <w:rPr>
          <w:sz w:val="20"/>
          <w:szCs w:val="20"/>
          <w:color w:val="auto"/>
        </w:rPr>
      </w:pPr>
      <w:r>
        <w:rPr>
          <w:rFonts w:ascii="Arial" w:cs="Arial" w:eastAsia="Arial" w:hAnsi="Arial"/>
          <w:sz w:val="14"/>
          <w:szCs w:val="14"/>
          <w:b w:val="1"/>
          <w:bCs w:val="1"/>
          <w:color w:val="auto"/>
        </w:rPr>
        <w:t>For Fiscal Quarter Ending</w:t>
      </w:r>
    </w:p>
    <w:tbl>
      <w:tblPr>
        <w:tblLayout w:type="fixed"/>
        <w:tblInd w:w="0" w:type="dxa"/>
        <w:tblCellMar>
          <w:top w:w="0" w:type="dxa"/>
          <w:left w:w="0" w:type="dxa"/>
          <w:bottom w:w="0" w:type="dxa"/>
          <w:right w:w="0" w:type="dxa"/>
        </w:tblCellMar>
      </w:tblPr>
      <w:tr>
        <w:trPr>
          <w:trHeight w:val="129"/>
        </w:trPr>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Mark As</w:t>
            </w:r>
          </w:p>
        </w:tc>
        <w:tc>
          <w:tcPr>
            <w:tcW w:w="7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CDOR</w:t>
            </w:r>
          </w:p>
        </w:tc>
        <w:tc>
          <w:tcPr>
            <w:tcW w:w="1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center"/>
              <w:ind w:right="1440"/>
              <w:spacing w:after="0" w:line="129" w:lineRule="exact"/>
              <w:rPr>
                <w:sz w:val="20"/>
                <w:szCs w:val="20"/>
                <w:color w:val="auto"/>
              </w:rPr>
            </w:pPr>
            <w:r>
              <w:rPr>
                <w:rFonts w:ascii="Arial" w:cs="Arial" w:eastAsia="Arial" w:hAnsi="Arial"/>
                <w:sz w:val="14"/>
                <w:szCs w:val="14"/>
                <w:b w:val="1"/>
                <w:bCs w:val="1"/>
                <w:color w:val="auto"/>
                <w:w w:val="92"/>
              </w:rPr>
              <w:t>ABR</w:t>
            </w:r>
          </w:p>
        </w:tc>
        <w:tc>
          <w:tcPr>
            <w:tcW w:w="74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rPr>
              <w:t>Canadian</w:t>
            </w:r>
          </w:p>
        </w:tc>
        <w:tc>
          <w:tcPr>
            <w:tcW w:w="100" w:type="dxa"/>
            <w:vAlign w:val="bottom"/>
          </w:tcPr>
          <w:p>
            <w:pPr>
              <w:spacing w:after="0"/>
              <w:rPr>
                <w:sz w:val="11"/>
                <w:szCs w:val="11"/>
                <w:color w:val="auto"/>
              </w:rPr>
            </w:pPr>
          </w:p>
        </w:tc>
      </w:tr>
      <w:tr>
        <w:trPr>
          <w:trHeight w:val="149"/>
        </w:trPr>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Applicable</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Eurodollar</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Spread</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center"/>
              <w:ind w:right="1440"/>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Prime Rate</w:t>
            </w:r>
          </w:p>
        </w:tc>
      </w:t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with “X”</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w w:val="89"/>
              </w:rPr>
              <w:t>Senior Leverage Ratio</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84"/>
              </w:rPr>
              <w:t>Spread (bps)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9"/>
              </w:rPr>
              <w:t>(bps)</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81"/>
              </w:rPr>
              <w:t>(bps)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Spread (bps)</w:t>
            </w:r>
          </w:p>
        </w:tc>
      </w:tr>
      <w:tr>
        <w:trPr>
          <w:trHeight w:val="210"/>
        </w:trPr>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³ 2.00 to 1.00</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gridSpan w:val="3"/>
          </w:tcPr>
          <w:p>
            <w:pPr>
              <w:ind w:left="600"/>
              <w:spacing w:after="0"/>
              <w:rPr>
                <w:sz w:val="20"/>
                <w:szCs w:val="20"/>
                <w:color w:val="auto"/>
              </w:rPr>
            </w:pPr>
            <w:r>
              <w:rPr>
                <w:rFonts w:ascii="Arial" w:cs="Arial" w:eastAsia="Arial" w:hAnsi="Arial"/>
                <w:sz w:val="18"/>
                <w:szCs w:val="18"/>
                <w:color w:val="auto"/>
                <w:w w:val="88"/>
              </w:rPr>
              <w:t>&lt; 2.00 to 1.00, but ³</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gridSpan w:val="3"/>
          </w:tcPr>
          <w:p>
            <w:pPr>
              <w:ind w:left="600"/>
              <w:spacing w:after="0"/>
              <w:rPr>
                <w:sz w:val="20"/>
                <w:szCs w:val="20"/>
                <w:color w:val="auto"/>
              </w:rPr>
            </w:pPr>
            <w:r>
              <w:rPr>
                <w:rFonts w:ascii="Arial" w:cs="Arial" w:eastAsia="Arial" w:hAnsi="Arial"/>
                <w:sz w:val="18"/>
                <w:szCs w:val="18"/>
                <w:color w:val="auto"/>
              </w:rPr>
              <w:t>1.50 to 1.00</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r>
      <w:tr>
        <w:trPr>
          <w:trHeight w:val="209"/>
        </w:trPr>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88"/>
              </w:rPr>
              <w:t>&lt; 1.50 to 1.00, but ³</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1.00 to 1.00</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r>
      <w:tr>
        <w:trPr>
          <w:trHeight w:val="222"/>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gridSpan w:val="3"/>
          </w:tcPr>
          <w:p>
            <w:pPr>
              <w:ind w:left="600"/>
              <w:spacing w:after="0"/>
              <w:rPr>
                <w:sz w:val="20"/>
                <w:szCs w:val="20"/>
                <w:color w:val="auto"/>
              </w:rPr>
            </w:pPr>
            <w:r>
              <w:rPr>
                <w:rFonts w:ascii="Arial" w:cs="Arial" w:eastAsia="Arial" w:hAnsi="Arial"/>
                <w:sz w:val="18"/>
                <w:szCs w:val="18"/>
                <w:color w:val="auto"/>
              </w:rPr>
              <w:t>&lt; 1.00 to 1.00</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175</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345"/>
        </w:trPr>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Unused Revolving Credit Facility Fee</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500" w:type="dxa"/>
            <w:vAlign w:val="bottom"/>
            <w:gridSpan w:val="5"/>
          </w:tcPr>
          <w:p>
            <w:pPr>
              <w:ind w:left="1000"/>
              <w:spacing w:after="0" w:line="129" w:lineRule="exact"/>
              <w:rPr>
                <w:sz w:val="20"/>
                <w:szCs w:val="20"/>
                <w:color w:val="auto"/>
              </w:rPr>
            </w:pPr>
            <w:r>
              <w:rPr>
                <w:rFonts w:ascii="Arial" w:cs="Arial" w:eastAsia="Arial" w:hAnsi="Arial"/>
                <w:sz w:val="14"/>
                <w:szCs w:val="14"/>
                <w:color w:val="auto"/>
              </w:rPr>
              <w:t>Actual Results: Senior Leverage Ratio:</w:t>
            </w: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For Fiscal Quarter Ending</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3"/>
          </w:tcPr>
          <w:p>
            <w:pPr>
              <w:jc w:val="center"/>
              <w:ind w:right="1292"/>
              <w:spacing w:after="0" w:line="129" w:lineRule="exact"/>
              <w:rPr>
                <w:sz w:val="20"/>
                <w:szCs w:val="20"/>
                <w:color w:val="auto"/>
              </w:rPr>
            </w:pPr>
            <w:r>
              <w:rPr>
                <w:rFonts w:ascii="Arial" w:cs="Arial" w:eastAsia="Arial" w:hAnsi="Arial"/>
                <w:sz w:val="14"/>
                <w:szCs w:val="14"/>
                <w:b w:val="1"/>
                <w:bCs w:val="1"/>
                <w:color w:val="auto"/>
                <w:w w:val="91"/>
              </w:rPr>
              <w:t>Mark as</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40" w:type="dxa"/>
            <w:vAlign w:val="bottom"/>
          </w:tcPr>
          <w:p>
            <w:pPr>
              <w:spacing w:after="0"/>
              <w:rPr>
                <w:sz w:val="12"/>
                <w:szCs w:val="12"/>
                <w:color w:val="auto"/>
              </w:rPr>
            </w:pPr>
          </w:p>
        </w:tc>
        <w:tc>
          <w:tcPr>
            <w:tcW w:w="2740" w:type="dxa"/>
            <w:vAlign w:val="bottom"/>
            <w:gridSpan w:val="4"/>
          </w:tcPr>
          <w:p>
            <w:pPr>
              <w:jc w:val="center"/>
              <w:ind w:right="572"/>
              <w:spacing w:after="0" w:line="149" w:lineRule="exact"/>
              <w:rPr>
                <w:sz w:val="20"/>
                <w:szCs w:val="20"/>
                <w:color w:val="auto"/>
              </w:rPr>
            </w:pPr>
            <w:r>
              <w:rPr>
                <w:rFonts w:ascii="Arial" w:cs="Arial" w:eastAsia="Arial" w:hAnsi="Arial"/>
                <w:sz w:val="14"/>
                <w:szCs w:val="14"/>
                <w:b w:val="1"/>
                <w:bCs w:val="1"/>
                <w:color w:val="auto"/>
                <w:w w:val="87"/>
              </w:rPr>
              <w:t>Applicable</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80" w:type="dxa"/>
            <w:vAlign w:val="bottom"/>
            <w:gridSpan w:val="6"/>
          </w:tcPr>
          <w:p>
            <w:pPr>
              <w:jc w:val="right"/>
              <w:ind w:right="620"/>
              <w:spacing w:after="0" w:line="149" w:lineRule="exact"/>
              <w:rPr>
                <w:sz w:val="20"/>
                <w:szCs w:val="20"/>
                <w:color w:val="auto"/>
              </w:rPr>
            </w:pPr>
            <w:r>
              <w:rPr>
                <w:rFonts w:ascii="Arial" w:cs="Arial" w:eastAsia="Arial" w:hAnsi="Arial"/>
                <w:sz w:val="14"/>
                <w:szCs w:val="14"/>
                <w:b w:val="1"/>
                <w:bCs w:val="1"/>
                <w:color w:val="auto"/>
              </w:rPr>
              <w:t>Unused Revolving Credit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center"/>
              <w:ind w:right="1292"/>
              <w:spacing w:after="0"/>
              <w:rPr>
                <w:sz w:val="20"/>
                <w:szCs w:val="20"/>
                <w:color w:val="auto"/>
              </w:rPr>
            </w:pPr>
            <w:r>
              <w:rPr>
                <w:rFonts w:ascii="Arial" w:cs="Arial" w:eastAsia="Arial" w:hAnsi="Arial"/>
                <w:sz w:val="14"/>
                <w:szCs w:val="14"/>
                <w:b w:val="1"/>
                <w:bCs w:val="1"/>
                <w:color w:val="auto"/>
                <w:w w:val="94"/>
              </w:rPr>
              <w:t>with “X”</w:t>
            </w:r>
          </w:p>
        </w:tc>
        <w:tc>
          <w:tcPr>
            <w:tcW w:w="1180" w:type="dxa"/>
            <w:vAlign w:val="bottom"/>
          </w:tcPr>
          <w:p>
            <w:pPr>
              <w:spacing w:after="0"/>
              <w:rPr>
                <w:sz w:val="14"/>
                <w:szCs w:val="14"/>
                <w:color w:val="auto"/>
              </w:rPr>
            </w:pPr>
          </w:p>
        </w:tc>
        <w:tc>
          <w:tcPr>
            <w:tcW w:w="232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Senior Leverage Ratio</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Facility Fee (bps)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³ 2.00 to 1.00</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00" w:type="dxa"/>
            <w:vAlign w:val="bottom"/>
            <w:gridSpan w:val="5"/>
          </w:tcPr>
          <w:p>
            <w:pPr>
              <w:jc w:val="center"/>
              <w:ind w:left="158"/>
              <w:spacing w:after="0"/>
              <w:rPr>
                <w:sz w:val="20"/>
                <w:szCs w:val="20"/>
                <w:color w:val="auto"/>
              </w:rPr>
            </w:pPr>
            <w:r>
              <w:rPr>
                <w:rFonts w:ascii="Arial" w:cs="Arial" w:eastAsia="Arial" w:hAnsi="Arial"/>
                <w:sz w:val="18"/>
                <w:szCs w:val="18"/>
                <w:color w:val="auto"/>
                <w:w w:val="88"/>
              </w:rPr>
              <w:t>&lt; 2.00 to 1.00, but ³</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3"/>
          </w:tcPr>
          <w:p>
            <w:pPr>
              <w:jc w:val="center"/>
              <w:ind w:right="1100"/>
              <w:spacing w:after="0"/>
              <w:rPr>
                <w:sz w:val="20"/>
                <w:szCs w:val="20"/>
                <w:color w:val="auto"/>
              </w:rPr>
            </w:pPr>
            <w:r>
              <w:rPr>
                <w:rFonts w:ascii="Arial" w:cs="Arial" w:eastAsia="Arial" w:hAnsi="Arial"/>
                <w:sz w:val="18"/>
                <w:szCs w:val="18"/>
                <w:color w:val="auto"/>
                <w:w w:val="88"/>
              </w:rPr>
              <w:t>1.50 to 1.00</w:t>
            </w:r>
          </w:p>
        </w:tc>
        <w:tc>
          <w:tcPr>
            <w:tcW w:w="420" w:type="dxa"/>
            <w:vAlign w:val="bottom"/>
          </w:tcPr>
          <w:p>
            <w:pPr>
              <w:spacing w:after="0"/>
              <w:rPr>
                <w:sz w:val="19"/>
                <w:szCs w:val="19"/>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500" w:type="dxa"/>
            <w:vAlign w:val="bottom"/>
            <w:gridSpan w:val="5"/>
            <w:shd w:val="clear" w:color="auto" w:fill="CCEEFF"/>
          </w:tcPr>
          <w:p>
            <w:pPr>
              <w:jc w:val="center"/>
              <w:ind w:left="158"/>
              <w:spacing w:after="0"/>
              <w:rPr>
                <w:sz w:val="20"/>
                <w:szCs w:val="20"/>
                <w:color w:val="auto"/>
              </w:rPr>
            </w:pPr>
            <w:r>
              <w:rPr>
                <w:rFonts w:ascii="Arial" w:cs="Arial" w:eastAsia="Arial" w:hAnsi="Arial"/>
                <w:sz w:val="18"/>
                <w:szCs w:val="18"/>
                <w:color w:val="auto"/>
                <w:w w:val="88"/>
              </w:rPr>
              <w:t>&lt; 1.50 to 1.00, but ³</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jc w:val="center"/>
              <w:ind w:right="1100"/>
              <w:spacing w:after="0"/>
              <w:rPr>
                <w:sz w:val="20"/>
                <w:szCs w:val="20"/>
                <w:color w:val="auto"/>
              </w:rPr>
            </w:pPr>
            <w:r>
              <w:rPr>
                <w:rFonts w:ascii="Arial" w:cs="Arial" w:eastAsia="Arial" w:hAnsi="Arial"/>
                <w:sz w:val="18"/>
                <w:szCs w:val="18"/>
                <w:color w:val="auto"/>
                <w:w w:val="88"/>
              </w:rPr>
              <w:t>1.00 to 1.00</w:t>
            </w:r>
          </w:p>
        </w:tc>
        <w:tc>
          <w:tcPr>
            <w:tcW w:w="42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3"/>
          </w:tcPr>
          <w:p>
            <w:pPr>
              <w:jc w:val="center"/>
              <w:ind w:right="1080"/>
              <w:spacing w:after="0"/>
              <w:rPr>
                <w:sz w:val="20"/>
                <w:szCs w:val="20"/>
                <w:color w:val="auto"/>
              </w:rPr>
            </w:pPr>
            <w:r>
              <w:rPr>
                <w:rFonts w:ascii="Arial" w:cs="Arial" w:eastAsia="Arial" w:hAnsi="Arial"/>
                <w:sz w:val="18"/>
                <w:szCs w:val="18"/>
                <w:color w:val="auto"/>
                <w:w w:val="88"/>
              </w:rPr>
              <w:t>&lt; 1.00 to 1.00</w:t>
            </w:r>
          </w:p>
        </w:tc>
        <w:tc>
          <w:tcPr>
            <w:tcW w:w="420" w:type="dxa"/>
            <w:vAlign w:val="bottom"/>
          </w:tcPr>
          <w:p>
            <w:pPr>
              <w:spacing w:after="0"/>
              <w:rPr>
                <w:sz w:val="19"/>
                <w:szCs w:val="19"/>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47" w:name="page148"/>
    <w:bookmarkEnd w:id="147"/>
    <w:p>
      <w:pPr>
        <w:ind w:left="3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 to Compliance Certificate</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List of Reports and Deliveries Due at this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Status</w:t>
      </w:r>
    </w:p>
    <w:p>
      <w:pPr>
        <w:spacing w:after="0" w:line="201" w:lineRule="exact"/>
        <w:rPr>
          <w:sz w:val="20"/>
          <w:szCs w:val="20"/>
          <w:color w:val="auto"/>
        </w:rPr>
      </w:pPr>
    </w:p>
    <w:p>
      <w:pPr>
        <w:ind w:left="980"/>
        <w:spacing w:after="0"/>
        <w:tabs>
          <w:tab w:leader="none" w:pos="7280" w:val="left"/>
        </w:tabs>
        <w:rPr>
          <w:sz w:val="20"/>
          <w:szCs w:val="20"/>
          <w:color w:val="auto"/>
        </w:rPr>
      </w:pPr>
      <w:r>
        <w:rPr>
          <w:rFonts w:ascii="Arial" w:cs="Arial" w:eastAsia="Arial" w:hAnsi="Arial"/>
          <w:sz w:val="14"/>
          <w:szCs w:val="14"/>
          <w:b w:val="1"/>
          <w:bCs w:val="1"/>
          <w:color w:val="auto"/>
        </w:rPr>
        <w:t>Report or Delivery Due</w:t>
      </w:r>
      <w:r>
        <w:rPr>
          <w:sz w:val="20"/>
          <w:szCs w:val="20"/>
          <w:color w:val="auto"/>
        </w:rPr>
        <w:tab/>
      </w:r>
      <w:r>
        <w:rPr>
          <w:rFonts w:ascii="Arial" w:cs="Arial" w:eastAsia="Arial" w:hAnsi="Arial"/>
          <w:sz w:val="11"/>
          <w:szCs w:val="11"/>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List of Existing Guarantees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7, 2003 Subsidiary Guaranty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Inc.</w:t>
      </w:r>
    </w:p>
    <w:p>
      <w:pPr>
        <w:spacing w:after="0" w:line="15" w:lineRule="exact"/>
        <w:rPr>
          <w:sz w:val="20"/>
          <w:szCs w:val="20"/>
          <w:color w:val="auto"/>
        </w:rPr>
      </w:pPr>
    </w:p>
    <w:p>
      <w:pPr>
        <w:jc w:val="both"/>
        <w:ind w:left="460" w:right="3739"/>
        <w:spacing w:after="0" w:line="302" w:lineRule="auto"/>
        <w:rPr>
          <w:sz w:val="20"/>
          <w:szCs w:val="20"/>
          <w:color w:val="auto"/>
        </w:rPr>
      </w:pPr>
      <w:r>
        <w:rPr>
          <w:rFonts w:ascii="Arial" w:cs="Arial" w:eastAsia="Arial" w:hAnsi="Arial"/>
          <w:sz w:val="16"/>
          <w:szCs w:val="16"/>
          <w:color w:val="auto"/>
        </w:rPr>
        <w:t>Matrix Service Industrial Contractors, Inc, (f/k/a Matrix Service Mid-Continent, Inc.) Matrix Service Inc., an Ontario Canada corporation, a/k/a Matrix Service Inc. Canada Matrix Service Specialized Transport, Inc., f/k/a Frank W. Hake,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10, 2005 Subsidiary Guaranty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Industrial Contractors Canada,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Industrial Contractors ULC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11, 2009 Subsidiary Guaranty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ULC, an Alberta unlimited liability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Matrix Service Canada ULC)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 Electric Company, Inc., a New Jersey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24, 2010 Subsidiary Guaranty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International, LLC, a Delaware limited liability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31, 2011 Subsidiary Guaranty</w:t>
      </w:r>
      <w:r>
        <w:rPr>
          <w:rFonts w:ascii="Arial" w:cs="Arial" w:eastAsia="Arial" w:hAnsi="Arial"/>
          <w:sz w:val="18"/>
          <w:szCs w:val="18"/>
          <w:color w:val="auto"/>
        </w:rPr>
        <w:t>:</w:t>
      </w:r>
    </w:p>
    <w:p>
      <w:pPr>
        <w:spacing w:after="0" w:line="90" w:lineRule="exact"/>
        <w:rPr>
          <w:sz w:val="20"/>
          <w:szCs w:val="20"/>
          <w:color w:val="auto"/>
        </w:rPr>
      </w:pPr>
    </w:p>
    <w:p>
      <w:pPr>
        <w:ind w:left="460" w:right="4119"/>
        <w:spacing w:after="0" w:line="332" w:lineRule="auto"/>
        <w:rPr>
          <w:sz w:val="20"/>
          <w:szCs w:val="20"/>
          <w:color w:val="auto"/>
        </w:rPr>
      </w:pPr>
      <w:r>
        <w:rPr>
          <w:rFonts w:ascii="Arial" w:cs="Arial" w:eastAsia="Arial" w:hAnsi="Arial"/>
          <w:sz w:val="16"/>
          <w:szCs w:val="16"/>
          <w:color w:val="auto"/>
        </w:rPr>
        <w:t>Matrix International Holding, LLC, a Delaware limited liability company Matrix International Construction, LLC, an Oklahoma limited liability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15, 2011 Subsidiary Guaranty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PDM Engineering Services, Inc., a Delaware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MSE Engineering Services,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EDC Engineering Services,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International Engineering, LLP, a Delaware limited liability partnership</w:t>
      </w:r>
    </w:p>
    <w:p>
      <w:pPr>
        <w:sectPr>
          <w:pgSz w:w="11900" w:h="16838" w:orient="portrait"/>
          <w:cols w:equalWidth="0" w:num="1">
            <w:col w:w="10219"/>
          </w:cols>
          <w:pgMar w:left="240" w:top="274" w:right="1440" w:bottom="1440" w:gutter="0" w:footer="0" w:header="0"/>
        </w:sectPr>
      </w:pPr>
    </w:p>
    <w:bookmarkStart w:id="149" w:name="page150"/>
    <w:bookmarkEnd w:id="149"/>
    <w:p>
      <w:pPr>
        <w:ind w:left="5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List of Existing Security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March 7, 2003 Pledge and Security Agreements executed and delivered by the following parties</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Inc.</w:t>
      </w:r>
    </w:p>
    <w:p>
      <w:pPr>
        <w:spacing w:after="0" w:line="9" w:lineRule="exact"/>
        <w:rPr>
          <w:sz w:val="20"/>
          <w:szCs w:val="20"/>
          <w:color w:val="auto"/>
        </w:rPr>
      </w:pPr>
    </w:p>
    <w:p>
      <w:pPr>
        <w:jc w:val="both"/>
        <w:ind w:left="460" w:right="3739"/>
        <w:spacing w:after="0" w:line="323" w:lineRule="auto"/>
        <w:rPr>
          <w:sz w:val="20"/>
          <w:szCs w:val="20"/>
          <w:color w:val="auto"/>
        </w:rPr>
      </w:pPr>
      <w:r>
        <w:rPr>
          <w:rFonts w:ascii="Arial" w:cs="Arial" w:eastAsia="Arial" w:hAnsi="Arial"/>
          <w:sz w:val="16"/>
          <w:szCs w:val="16"/>
          <w:color w:val="auto"/>
        </w:rPr>
        <w:t>Matrix Service Inc., an Ontario Canada corporation, a/k/a Matrix Service Inc. Canada Matrix Service Industrial Contractors, Inc, (f/k/a Matrix Service Mid-Continent,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10, 2005 Pledge and Security Agreements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Industrial Contractors Canada,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Industrial Contractors ULC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10, 2005 Amended and Restated Pledge and Security Agreement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Inc., an Ontario Canada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11, 2009 Pledge and Security Agreements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Matrix Service ULC, an Alberta unlimited liability corporation (now Matrix Service Canada ULC)</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 Electric Company, Inc., a New Jersey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24, 2010 Pledge and Security Agreement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Service International, LLC, a Delaware limited liability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31, 2011 Pledge and Security Agreement</w:t>
      </w:r>
      <w:r>
        <w:rPr>
          <w:rFonts w:ascii="Arial" w:cs="Arial" w:eastAsia="Arial" w:hAnsi="Arial"/>
          <w:sz w:val="18"/>
          <w:szCs w:val="18"/>
          <w:color w:val="auto"/>
        </w:rPr>
        <w:t>:</w:t>
      </w:r>
    </w:p>
    <w:p>
      <w:pPr>
        <w:spacing w:after="0" w:line="90" w:lineRule="exact"/>
        <w:rPr>
          <w:sz w:val="20"/>
          <w:szCs w:val="20"/>
          <w:color w:val="auto"/>
        </w:rPr>
      </w:pPr>
    </w:p>
    <w:p>
      <w:pPr>
        <w:ind w:left="460" w:right="4119"/>
        <w:spacing w:after="0" w:line="332" w:lineRule="auto"/>
        <w:rPr>
          <w:sz w:val="20"/>
          <w:szCs w:val="20"/>
          <w:color w:val="auto"/>
        </w:rPr>
      </w:pPr>
      <w:r>
        <w:rPr>
          <w:rFonts w:ascii="Arial" w:cs="Arial" w:eastAsia="Arial" w:hAnsi="Arial"/>
          <w:sz w:val="16"/>
          <w:szCs w:val="16"/>
          <w:color w:val="auto"/>
        </w:rPr>
        <w:t>Matrix International Holding, LLC, a Delaware limited liability company Matrix International Construction, LLC, an Oklahoma limited liability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15, 2011 Pledge and Security Agreements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PDM Engineering Services, Inc., a Delaware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MSE Engineering Services,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EDC Engineering Services, Inc., a Delaware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Matrix International Engineering, LLP, a Delaware limited liability partnership</w:t>
      </w:r>
    </w:p>
    <w:p>
      <w:pPr>
        <w:sectPr>
          <w:pgSz w:w="11900" w:h="16838" w:orient="portrait"/>
          <w:cols w:equalWidth="0" w:num="1">
            <w:col w:w="10219"/>
          </w:cols>
          <w:pgMar w:left="240" w:top="274"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32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2"/>
              </w:rPr>
              <w:t>Exhibit F</w:t>
            </w:r>
          </w:p>
        </w:tc>
      </w:tr>
      <w:tr>
        <w:trPr>
          <w:trHeight w:val="20"/>
        </w:trPr>
        <w:tc>
          <w:tcPr>
            <w:tcW w:w="1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397"/>
        </w:trPr>
        <w:tc>
          <w:tcPr>
            <w:tcW w:w="1820" w:type="dxa"/>
            <w:vAlign w:val="bottom"/>
          </w:tcPr>
          <w:p>
            <w:pPr>
              <w:spacing w:after="0"/>
              <w:rPr>
                <w:sz w:val="24"/>
                <w:szCs w:val="24"/>
                <w:color w:val="auto"/>
              </w:rPr>
            </w:pPr>
          </w:p>
        </w:tc>
        <w:tc>
          <w:tcPr>
            <w:tcW w:w="7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List of Mortgages</w:t>
            </w:r>
          </w:p>
        </w:tc>
      </w:tr>
      <w:tr>
        <w:trPr>
          <w:trHeight w:val="378"/>
        </w:trPr>
        <w:tc>
          <w:tcPr>
            <w:tcW w:w="182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2"/>
        </w:trPr>
        <w:tc>
          <w:tcPr>
            <w:tcW w:w="1820" w:type="dxa"/>
            <w:vAlign w:val="bottom"/>
          </w:tcPr>
          <w:p>
            <w:pPr>
              <w:spacing w:after="0"/>
              <w:rPr>
                <w:sz w:val="20"/>
                <w:szCs w:val="20"/>
                <w:color w:val="auto"/>
              </w:rPr>
            </w:pPr>
            <w:r>
              <w:rPr>
                <w:rFonts w:ascii="Arial" w:cs="Arial" w:eastAsia="Arial" w:hAnsi="Arial"/>
                <w:sz w:val="18"/>
                <w:szCs w:val="18"/>
                <w:color w:val="auto"/>
              </w:rPr>
              <w:t>Mortgagor/Mortgagee</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Matrix Service Inc./ JPMorgan Chase Bank, N.A., as Agent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Property Address</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500 West Collins Avenue, Orange County, CA</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Instrument</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3/7/03 Deed of Trust with Assignment of Rents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Recording Info</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Filed 12/9/03, Doc No. 2003001464632</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Orange County Clerk-Recorder</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The Hall of Finance &amp; Records</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12 Civic Center Plaza</w:t>
            </w:r>
          </w:p>
        </w:tc>
      </w:tr>
      <w:tr>
        <w:trPr>
          <w:trHeight w:val="222"/>
        </w:trPr>
        <w:tc>
          <w:tcPr>
            <w:tcW w:w="1820" w:type="dxa"/>
            <w:vAlign w:val="bottom"/>
          </w:tcPr>
          <w:p>
            <w:pPr>
              <w:spacing w:after="0"/>
              <w:rPr>
                <w:sz w:val="19"/>
                <w:szCs w:val="19"/>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Santa Ana, CA 92701</w:t>
            </w:r>
          </w:p>
        </w:tc>
      </w:tr>
      <w:tr>
        <w:trPr>
          <w:trHeight w:val="473"/>
        </w:trPr>
        <w:tc>
          <w:tcPr>
            <w:tcW w:w="1820" w:type="dxa"/>
            <w:vAlign w:val="bottom"/>
          </w:tcPr>
          <w:p>
            <w:pPr>
              <w:spacing w:after="0"/>
              <w:rPr>
                <w:sz w:val="20"/>
                <w:szCs w:val="20"/>
                <w:color w:val="auto"/>
              </w:rPr>
            </w:pPr>
            <w:r>
              <w:rPr>
                <w:rFonts w:ascii="Arial" w:cs="Arial" w:eastAsia="Arial" w:hAnsi="Arial"/>
                <w:sz w:val="18"/>
                <w:szCs w:val="18"/>
                <w:b w:val="1"/>
                <w:bCs w:val="1"/>
                <w:color w:val="auto"/>
              </w:rPr>
              <w:t>Canada:</w:t>
            </w:r>
          </w:p>
        </w:tc>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2"/>
        </w:trPr>
        <w:tc>
          <w:tcPr>
            <w:tcW w:w="1820" w:type="dxa"/>
            <w:vAlign w:val="bottom"/>
          </w:tcPr>
          <w:p>
            <w:pPr>
              <w:spacing w:after="0"/>
              <w:rPr>
                <w:sz w:val="20"/>
                <w:szCs w:val="20"/>
                <w:color w:val="auto"/>
              </w:rPr>
            </w:pPr>
            <w:r>
              <w:rPr>
                <w:rFonts w:ascii="Arial" w:cs="Arial" w:eastAsia="Arial" w:hAnsi="Arial"/>
                <w:sz w:val="18"/>
                <w:szCs w:val="18"/>
                <w:color w:val="auto"/>
              </w:rPr>
              <w:t>Mortgagor/Mortgagee</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Matrix Service Inc./ JPMorgan Chase Bank, N.A., as Agent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Property Address</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473 Scott Road, Sarnia, Ontario N7T 7H5</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Instrument</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8/10/05 Registered Charge/Mortgage of Land</w:t>
            </w: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Recording Info</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County of Lambton, No. 941714 registered August 17, 2005</w:t>
            </w:r>
          </w:p>
        </w:tc>
      </w:tr>
      <w:tr>
        <w:trPr>
          <w:trHeight w:val="459"/>
        </w:trPr>
        <w:tc>
          <w:tcPr>
            <w:tcW w:w="1820" w:type="dxa"/>
            <w:vAlign w:val="bottom"/>
          </w:tcPr>
          <w:p>
            <w:pPr>
              <w:spacing w:after="0"/>
              <w:rPr>
                <w:sz w:val="20"/>
                <w:szCs w:val="20"/>
                <w:color w:val="auto"/>
              </w:rPr>
            </w:pPr>
            <w:r>
              <w:rPr>
                <w:rFonts w:ascii="Arial" w:cs="Arial" w:eastAsia="Arial" w:hAnsi="Arial"/>
                <w:sz w:val="18"/>
                <w:szCs w:val="18"/>
                <w:b w:val="1"/>
                <w:bCs w:val="1"/>
                <w:color w:val="auto"/>
              </w:rPr>
              <w:t>Michigan:</w:t>
            </w:r>
          </w:p>
        </w:tc>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2"/>
        </w:trPr>
        <w:tc>
          <w:tcPr>
            <w:tcW w:w="1820" w:type="dxa"/>
            <w:vAlign w:val="bottom"/>
          </w:tcPr>
          <w:p>
            <w:pPr>
              <w:spacing w:after="0"/>
              <w:rPr>
                <w:sz w:val="20"/>
                <w:szCs w:val="20"/>
                <w:color w:val="auto"/>
              </w:rPr>
            </w:pPr>
            <w:r>
              <w:rPr>
                <w:rFonts w:ascii="Arial" w:cs="Arial" w:eastAsia="Arial" w:hAnsi="Arial"/>
                <w:sz w:val="18"/>
                <w:szCs w:val="18"/>
                <w:color w:val="auto"/>
              </w:rPr>
              <w:t>Mortgagor/Mortgagee</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Matrix Service Industrial Contractors, Inc./JPMorgan Chase Bank, N.A., as Agent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Property Address</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6945 Crabb Road, Temperance, Michigan 48182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Instrument</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3/7/03 Mortgage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Recording Info</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Filed 4/2/03, Liber 2431, Page 159</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Monroe County Register of Deeds</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106 E. First</w:t>
            </w:r>
          </w:p>
        </w:tc>
      </w:tr>
      <w:tr>
        <w:trPr>
          <w:trHeight w:val="222"/>
        </w:trPr>
        <w:tc>
          <w:tcPr>
            <w:tcW w:w="1820" w:type="dxa"/>
            <w:vAlign w:val="bottom"/>
          </w:tcPr>
          <w:p>
            <w:pPr>
              <w:spacing w:after="0"/>
              <w:rPr>
                <w:sz w:val="19"/>
                <w:szCs w:val="19"/>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Monroe, MI 48161</w:t>
            </w:r>
          </w:p>
        </w:tc>
      </w:tr>
      <w:tr>
        <w:trPr>
          <w:trHeight w:val="473"/>
        </w:trPr>
        <w:tc>
          <w:tcPr>
            <w:tcW w:w="182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12"/>
        </w:trPr>
        <w:tc>
          <w:tcPr>
            <w:tcW w:w="1820" w:type="dxa"/>
            <w:vAlign w:val="bottom"/>
          </w:tcPr>
          <w:p>
            <w:pPr>
              <w:spacing w:after="0"/>
              <w:rPr>
                <w:sz w:val="20"/>
                <w:szCs w:val="20"/>
                <w:color w:val="auto"/>
              </w:rPr>
            </w:pPr>
            <w:r>
              <w:rPr>
                <w:rFonts w:ascii="Arial" w:cs="Arial" w:eastAsia="Arial" w:hAnsi="Arial"/>
                <w:sz w:val="18"/>
                <w:szCs w:val="18"/>
                <w:color w:val="auto"/>
              </w:rPr>
              <w:t>Mortgagor/Mortgagee</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Matrix Service Company/JPMorgan Chase Bank, N.A., as Agent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Property Address</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1105 West Main Parkway, Catoosa, OK</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Instrument</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w w:val="87"/>
              </w:rPr>
              <w:t>3/7/03 Leasehold Mortgage, Assignment of Leases and Rents, Security Agreement and Financing Statement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Recording Info</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Filed 12/4/03, Book 1547, Page 0373, Doc No. 026796</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Rogers County Clerk</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Rogers County Courthouse</w:t>
            </w:r>
          </w:p>
        </w:tc>
      </w:tr>
      <w:tr>
        <w:trPr>
          <w:trHeight w:val="216"/>
        </w:trPr>
        <w:tc>
          <w:tcPr>
            <w:tcW w:w="182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P. O. Box 1210</w:t>
            </w:r>
          </w:p>
        </w:tc>
      </w:tr>
      <w:tr>
        <w:trPr>
          <w:trHeight w:val="222"/>
        </w:trPr>
        <w:tc>
          <w:tcPr>
            <w:tcW w:w="1820" w:type="dxa"/>
            <w:vAlign w:val="bottom"/>
          </w:tcPr>
          <w:p>
            <w:pPr>
              <w:spacing w:after="0"/>
              <w:rPr>
                <w:sz w:val="19"/>
                <w:szCs w:val="19"/>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Claremore, OK 74017</w:t>
            </w:r>
          </w:p>
        </w:tc>
      </w:tr>
    </w:tbl>
    <w:p>
      <w:pPr>
        <w:ind w:left="26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1" w:name="page152"/>
    <w:bookmarkEnd w:id="15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w:t>
      </w:r>
    </w:p>
    <w:p>
      <w:pPr>
        <w:sectPr>
          <w:pgSz w:w="11900" w:h="16838" w:orient="portrait"/>
          <w:cols w:equalWidth="0" w:num="1">
            <w:col w:w="10219"/>
          </w:cols>
          <w:pgMar w:left="240" w:top="273"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Mortgagor/Mortgagee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Recording Info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Inc./JPMorgan Chase 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7021 Gregdale Road, Houston, Texas 77049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3/7/03 Deed of Trust Assignment of Leases and Rents, Security Agreement and Financing Statement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Filed 12/15/03, Doc No. 200361109, Official Public Records of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Harris County Clerk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77251</w:t>
      </w:r>
    </w:p>
    <w:p>
      <w:pPr>
        <w:spacing w:after="0" w:line="200" w:lineRule="exact"/>
        <w:rPr>
          <w:sz w:val="20"/>
          <w:szCs w:val="20"/>
          <w:color w:val="auto"/>
        </w:rPr>
      </w:pPr>
    </w:p>
    <w:p>
      <w:pPr>
        <w:sectPr>
          <w:pgSz w:w="11900" w:h="16838" w:orient="portrait"/>
          <w:cols w:equalWidth="0" w:num="2">
            <w:col w:w="1560" w:space="520"/>
            <w:col w:w="8139"/>
          </w:cols>
          <w:pgMar w:left="240" w:top="273" w:right="1440"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Washington:</w:t>
      </w:r>
    </w:p>
    <w:p>
      <w:pPr>
        <w:sectPr>
          <w:pgSz w:w="11900" w:h="16838" w:orient="portrait"/>
          <w:cols w:equalWidth="0" w:num="1">
            <w:col w:w="10219"/>
          </w:cols>
          <w:pgMar w:left="240" w:top="273" w:right="1440"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Mortgagor/Mortgagee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Recording Info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Matrix Service Inc./JPMorgan Chase Bank, N.A., as Agent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3810 Bakerview Spur, Bellingham, WA 98226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Deed of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3/26/03, Doc No. 2030305470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Whatcom County Auditor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Bellingham, WA 98227</w:t>
      </w:r>
    </w:p>
    <w:p>
      <w:pPr>
        <w:sectPr>
          <w:pgSz w:w="11900" w:h="16838" w:orient="portrait"/>
          <w:cols w:equalWidth="0" w:num="2">
            <w:col w:w="1560" w:space="520"/>
            <w:col w:w="8139"/>
          </w:cols>
          <w:pgMar w:left="240" w:top="273" w:right="1440"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80" w:type="dxa"/>
            <w:vAlign w:val="bottom"/>
            <w:gridSpan w:val="3"/>
          </w:tcPr>
          <w:p>
            <w:pPr>
              <w:jc w:val="center"/>
              <w:ind w:right="5340"/>
              <w:spacing w:after="0"/>
              <w:rPr>
                <w:sz w:val="20"/>
                <w:szCs w:val="20"/>
                <w:color w:val="auto"/>
              </w:rPr>
            </w:pPr>
            <w:r>
              <w:rPr>
                <w:rFonts w:ascii="Arial" w:cs="Arial" w:eastAsia="Arial" w:hAnsi="Arial"/>
                <w:sz w:val="18"/>
                <w:szCs w:val="18"/>
                <w:b w:val="1"/>
                <w:bCs w:val="1"/>
                <w:color w:val="auto"/>
                <w:w w:val="93"/>
              </w:rPr>
              <w:t>Exhibit G</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89"/>
              </w:rPr>
              <w:t>List and Brief Description of Existing Facility LCs</w:t>
            </w: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color w:val="auto"/>
              </w:rPr>
              <w:t>Liability</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Outstanding</w:t>
            </w:r>
          </w:p>
        </w:tc>
        <w:tc>
          <w:tcPr>
            <w:tcW w:w="70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Expiry / Maturity</w:t>
            </w: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340" w:type="dxa"/>
            <w:vAlign w:val="bottom"/>
            <w:gridSpan w:val="2"/>
            <w:vMerge w:val="restart"/>
          </w:tcPr>
          <w:p>
            <w:pPr>
              <w:ind w:left="1020"/>
              <w:spacing w:after="0"/>
              <w:rPr>
                <w:sz w:val="20"/>
                <w:szCs w:val="20"/>
                <w:color w:val="auto"/>
              </w:rPr>
            </w:pPr>
            <w:r>
              <w:rPr>
                <w:rFonts w:ascii="Arial" w:cs="Arial" w:eastAsia="Arial" w:hAnsi="Arial"/>
                <w:sz w:val="14"/>
                <w:szCs w:val="14"/>
                <w:color w:val="auto"/>
              </w:rPr>
              <w:t>Beneficiary Name</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36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91"/>
              </w:rPr>
              <w:t>Amount</w:t>
            </w:r>
          </w:p>
        </w:tc>
        <w:tc>
          <w:tcPr>
            <w:tcW w:w="700" w:type="dxa"/>
            <w:vAlign w:val="bottom"/>
          </w:tcPr>
          <w:p>
            <w:pPr>
              <w:spacing w:after="0" w:line="159" w:lineRule="exact"/>
              <w:rPr>
                <w:sz w:val="20"/>
                <w:szCs w:val="20"/>
                <w:color w:val="auto"/>
              </w:rPr>
            </w:pPr>
            <w:r>
              <w:rPr>
                <w:rFonts w:ascii="Arial" w:cs="Arial" w:eastAsia="Arial" w:hAnsi="Arial"/>
                <w:sz w:val="14"/>
                <w:szCs w:val="14"/>
                <w:color w:val="auto"/>
                <w:w w:val="80"/>
              </w:rPr>
              <w:t>Release Date</w:t>
            </w:r>
          </w:p>
        </w:tc>
        <w:tc>
          <w:tcPr>
            <w:tcW w:w="340" w:type="dxa"/>
            <w:vAlign w:val="bottom"/>
          </w:tcPr>
          <w:p>
            <w:pPr>
              <w:spacing w:after="0"/>
              <w:rPr>
                <w:sz w:val="13"/>
                <w:szCs w:val="13"/>
                <w:color w:val="auto"/>
              </w:rPr>
            </w:pPr>
          </w:p>
        </w:tc>
        <w:tc>
          <w:tcPr>
            <w:tcW w:w="128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7"/>
              </w:rPr>
              <w:t>Date</w:t>
            </w: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675,000.00</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8/29/2003</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3/23/2012</w:t>
            </w:r>
          </w:p>
        </w:tc>
        <w:tc>
          <w:tcPr>
            <w:tcW w:w="340" w:type="dxa"/>
            <w:vAlign w:val="bottom"/>
            <w:tcBorders>
              <w:top w:val="single" w:sz="8" w:color="CCEEFF"/>
            </w:tcBorders>
            <w:shd w:val="clear" w:color="auto" w:fill="CCEEFF"/>
          </w:tcPr>
          <w:p>
            <w:pPr>
              <w:spacing w:after="0"/>
              <w:rPr>
                <w:sz w:val="18"/>
                <w:szCs w:val="18"/>
                <w:color w:val="auto"/>
              </w:rPr>
            </w:pPr>
          </w:p>
        </w:tc>
        <w:tc>
          <w:tcPr>
            <w:tcW w:w="76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Zurich American Insurance Company</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582,700.00</w:t>
            </w:r>
          </w:p>
        </w:tc>
        <w:tc>
          <w:tcPr>
            <w:tcW w:w="4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9/10/2004</w:t>
            </w:r>
          </w:p>
        </w:tc>
        <w:tc>
          <w:tcPr>
            <w:tcW w:w="1280" w:type="dxa"/>
            <w:vAlign w:val="bottom"/>
            <w:gridSpan w:val="2"/>
          </w:tcPr>
          <w:p>
            <w:pPr>
              <w:jc w:val="center"/>
              <w:ind w:left="235"/>
              <w:spacing w:after="0"/>
              <w:rPr>
                <w:sz w:val="20"/>
                <w:szCs w:val="20"/>
                <w:color w:val="auto"/>
              </w:rPr>
            </w:pPr>
            <w:r>
              <w:rPr>
                <w:rFonts w:ascii="Arial" w:cs="Arial" w:eastAsia="Arial" w:hAnsi="Arial"/>
                <w:sz w:val="18"/>
                <w:szCs w:val="18"/>
                <w:color w:val="auto"/>
                <w:w w:val="89"/>
              </w:rPr>
              <w:t>3/23/2012</w:t>
            </w:r>
          </w:p>
        </w:tc>
        <w:tc>
          <w:tcPr>
            <w:tcW w:w="34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National Union Fire Insurance Company</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4,579,000.00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6/10/2009</w:t>
            </w:r>
          </w:p>
        </w:tc>
        <w:tc>
          <w:tcPr>
            <w:tcW w:w="128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88"/>
              </w:rPr>
              <w:t>6/7/2012</w:t>
            </w:r>
          </w:p>
        </w:tc>
        <w:tc>
          <w:tcPr>
            <w:tcW w:w="340" w:type="dxa"/>
            <w:vAlign w:val="bottom"/>
            <w:shd w:val="clear" w:color="auto" w:fill="CCEEFF"/>
          </w:tcPr>
          <w:p>
            <w:pPr>
              <w:spacing w:after="0"/>
              <w:rPr>
                <w:sz w:val="18"/>
                <w:szCs w:val="18"/>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Arch Insurance Company</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550,314.00</w:t>
            </w:r>
          </w:p>
        </w:tc>
        <w:tc>
          <w:tcPr>
            <w:tcW w:w="4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2/11/2011</w:t>
            </w:r>
          </w:p>
        </w:tc>
        <w:tc>
          <w:tcPr>
            <w:tcW w:w="1280" w:type="dxa"/>
            <w:vAlign w:val="bottom"/>
            <w:gridSpan w:val="2"/>
          </w:tcPr>
          <w:p>
            <w:pPr>
              <w:jc w:val="center"/>
              <w:ind w:left="255"/>
              <w:spacing w:after="0"/>
              <w:rPr>
                <w:sz w:val="20"/>
                <w:szCs w:val="20"/>
                <w:color w:val="auto"/>
              </w:rPr>
            </w:pPr>
            <w:r>
              <w:rPr>
                <w:rFonts w:ascii="Arial" w:cs="Arial" w:eastAsia="Arial" w:hAnsi="Arial"/>
                <w:sz w:val="18"/>
                <w:szCs w:val="18"/>
                <w:color w:val="auto"/>
                <w:w w:val="88"/>
              </w:rPr>
              <w:t>2/8/2012</w:t>
            </w:r>
          </w:p>
        </w:tc>
        <w:tc>
          <w:tcPr>
            <w:tcW w:w="34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Legion Insurance Company</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197,785.85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9/20/2011</w:t>
            </w:r>
          </w:p>
        </w:tc>
        <w:tc>
          <w:tcPr>
            <w:tcW w:w="128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88"/>
              </w:rPr>
              <w:t>8/1/2012</w:t>
            </w:r>
          </w:p>
        </w:tc>
        <w:tc>
          <w:tcPr>
            <w:tcW w:w="340" w:type="dxa"/>
            <w:vAlign w:val="bottom"/>
            <w:shd w:val="clear" w:color="auto" w:fill="CCEEFF"/>
          </w:tcPr>
          <w:p>
            <w:pPr>
              <w:spacing w:after="0"/>
              <w:rPr>
                <w:sz w:val="18"/>
                <w:szCs w:val="18"/>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Ecobank Ghana</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242,463.00</w:t>
            </w:r>
          </w:p>
        </w:tc>
        <w:tc>
          <w:tcPr>
            <w:tcW w:w="4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6/19/2003</w:t>
            </w:r>
          </w:p>
        </w:tc>
        <w:tc>
          <w:tcPr>
            <w:tcW w:w="1280" w:type="dxa"/>
            <w:vAlign w:val="bottom"/>
            <w:gridSpan w:val="2"/>
          </w:tcPr>
          <w:p>
            <w:pPr>
              <w:jc w:val="center"/>
              <w:ind w:left="235"/>
              <w:spacing w:after="0"/>
              <w:rPr>
                <w:sz w:val="20"/>
                <w:szCs w:val="20"/>
                <w:color w:val="auto"/>
              </w:rPr>
            </w:pPr>
            <w:r>
              <w:rPr>
                <w:rFonts w:ascii="Arial" w:cs="Arial" w:eastAsia="Arial" w:hAnsi="Arial"/>
                <w:sz w:val="18"/>
                <w:szCs w:val="18"/>
                <w:color w:val="auto"/>
                <w:w w:val="89"/>
              </w:rPr>
              <w:t>3/23/2012</w:t>
            </w:r>
          </w:p>
        </w:tc>
        <w:tc>
          <w:tcPr>
            <w:tcW w:w="34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Liberty Mutual Insurance Company</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726,216.00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12/3/2010</w:t>
            </w:r>
          </w:p>
        </w:tc>
        <w:tc>
          <w:tcPr>
            <w:tcW w:w="128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9"/>
              </w:rPr>
              <w:t>9/30/2012</w:t>
            </w:r>
          </w:p>
        </w:tc>
        <w:tc>
          <w:tcPr>
            <w:tcW w:w="340" w:type="dxa"/>
            <w:vAlign w:val="bottom"/>
            <w:shd w:val="clear" w:color="auto" w:fill="CCEEFF"/>
          </w:tcPr>
          <w:p>
            <w:pPr>
              <w:spacing w:after="0"/>
              <w:rPr>
                <w:sz w:val="18"/>
                <w:szCs w:val="18"/>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Chevron North America Exploration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U.S. TAX CERTIFICATE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Non-U.S. the Lenders That Are Not Partnerships For U.S. Federal Income Tax Purposes)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Reference is hereby made to the Third Amended and Restated Credit Agreement dated as of November 7, 2011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Matrix Service Company, a Delaware corporation, as a Borrower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party thereto, and each Lender from time to time party thereto.</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w:t>
      </w:r>
    </w:p>
    <w:p>
      <w:pPr>
        <w:ind w:right="120"/>
        <w:spacing w:after="0" w:line="255" w:lineRule="auto"/>
        <w:rPr>
          <w:sz w:val="20"/>
          <w:szCs w:val="20"/>
          <w:color w:val="auto"/>
        </w:rPr>
      </w:pPr>
      <w:r>
        <w:rPr>
          <w:rFonts w:ascii="Arial" w:cs="Arial" w:eastAsia="Arial" w:hAnsi="Arial"/>
          <w:sz w:val="18"/>
          <w:szCs w:val="18"/>
          <w:color w:val="auto"/>
        </w:rPr>
        <w:t>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60"/>
          </w:cols>
          <w:pgMar w:left="240" w:top="274" w:right="299" w:bottom="1440" w:gutter="0" w:footer="0" w:header="0"/>
        </w:sectPr>
      </w:pPr>
    </w:p>
    <w:bookmarkStart w:id="154" w:name="page155"/>
    <w:bookmarkEnd w:id="154"/>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H-2</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 TAX CERTIFICATE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the Lenders That Are Partnerships For U.S. Federal Income Tax Purposes)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Reference is hereby made to the Third Amended and Restated Credit Agreement dated as of November 7, 2011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Matrix Service Company, a Delaware corporation, as a Borrower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party thereto, and each Lender from time to time party thereto.</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with respect to the extension of credit pursuant to this Credit Agreement,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has furnished the Administrative Agent and the Borrower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420"/>
          </w:cols>
          <w:pgMar w:left="240" w:top="274" w:right="239" w:bottom="1440" w:gutter="0" w:footer="0" w:header="0"/>
        </w:sectPr>
      </w:pPr>
    </w:p>
    <w:bookmarkStart w:id="155" w:name="page156"/>
    <w:bookmarkEnd w:id="155"/>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H-3</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 TAX CERTIFICATE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Reference is hereby made to the Third Amended and Restated Credit Agreement dated as of November 7, 2011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Matrix Service Company, a Delaware corporation, as a Borrower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party thereto, and each Lender from time to time party thereto.</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w:t>
      </w:r>
    </w:p>
    <w:p>
      <w:pPr>
        <w:ind w:right="60" w:firstLine="8"/>
        <w:spacing w:after="0" w:line="261"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400"/>
          </w:cols>
          <w:pgMar w:left="240" w:top="274" w:right="259" w:bottom="1440" w:gutter="0" w:footer="0" w:header="0"/>
        </w:sectPr>
      </w:pPr>
    </w:p>
    <w:bookmarkStart w:id="156" w:name="page157"/>
    <w:bookmarkEnd w:id="156"/>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H-4</w:t>
      </w: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OF]</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U.S. TAX CERTIFICATE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Reference is hereby made to the Third Amended and Restated Credit Agreement dated as of November 7, 2011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Matrix Service Company, a Delaware corporation, as a Borrower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party thereto, and each Lender from time to time party thereto.</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participation in respect of which it is providing this certificate, (ii) its partners/members are the sole beneficial owners of such participation, (iii) with respect such participation,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has furnished its participating Lender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80"/>
          </w:cols>
          <w:pgMar w:left="240" w:top="274" w:right="279" w:bottom="1440" w:gutter="0" w:footer="0" w:header="0"/>
        </w:sectPr>
      </w:pPr>
    </w:p>
    <w:bookmarkStart w:id="157" w:name="page158"/>
    <w:bookmarkEnd w:id="157"/>
    <w:p>
      <w:pPr>
        <w:ind w:left="5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MATRIX SERVICE COMPANY</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INVESTMENT POLICY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purpose of this policy is to establish guidelines for the management of cash and investments for Matrix Service Company (the “Company”) while ensuring the following (in order of importance):</w:t>
      </w:r>
    </w:p>
    <w:p>
      <w:pPr>
        <w:spacing w:after="0" w:line="51" w:lineRule="exact"/>
        <w:rPr>
          <w:sz w:val="20"/>
          <w:szCs w:val="20"/>
          <w:color w:val="auto"/>
        </w:rPr>
      </w:pPr>
    </w:p>
    <w:p>
      <w:pPr>
        <w:ind w:left="1920" w:hanging="440"/>
        <w:spacing w:after="0"/>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Preservation of capital</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Provide sufficient liquidity to satisfy operating requirements, working capital purposes, and strategic initiatives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Maximize after-tax yield based on Company’s investment policy and market conditions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Ensure compliance with the Company’s Senior Credit Facility and other covenants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Parties</w:t>
      </w:r>
    </w:p>
    <w:p>
      <w:pPr>
        <w:spacing w:after="0" w:line="96"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It is the responsibility of the Board of Directors to approve the Investment Policy and any revisions or amendments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It is the responsibility of the Chief Financial Officer to:</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Monitor the portfolio for suitability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Propose alterations to the Investment Policy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Maintain administrative approvals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Execute the investment policy and designate those who can execute it (need to list designees in writing)</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All movement of funds into and out of the Company’s approved investment accounts must be authorized by the Company’s Chief Financial Officer and are restricted to transfer between such accounts and the Company’s primary operating bank account</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All investment transactions must be approved in advance by the Company’s Chief Financial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Invest idle or surplus funds in accordance with the principles of sound investment management and this Investment Policy by incorporating the following fundamental objectives (in order of priority):</w:t>
      </w:r>
    </w:p>
    <w:p>
      <w:pPr>
        <w:spacing w:after="0" w:line="51"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Preserve capital</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Maintain an acceptable degree of liquidity</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Maximize yield within the constraint of maximum safety</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Optimize tax benefits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average weighted maturity in the portfolio will be maintained at 18 months or less</w:t>
      </w:r>
    </w:p>
    <w:p>
      <w:pPr>
        <w:sectPr>
          <w:pgSz w:w="11900" w:h="16838" w:orient="portrait"/>
          <w:cols w:equalWidth="0" w:num="1">
            <w:col w:w="11260"/>
          </w:cols>
          <w:pgMar w:left="240" w:top="274" w:right="399" w:bottom="1440" w:gutter="0" w:footer="0" w:header="0"/>
        </w:sectPr>
      </w:pPr>
    </w:p>
    <w:bookmarkStart w:id="158" w:name="page159"/>
    <w:bookmarkEnd w:id="158"/>
    <w:p>
      <w:pPr>
        <w:ind w:left="446" w:hanging="446"/>
        <w:spacing w:after="0"/>
        <w:tabs>
          <w:tab w:leader="none" w:pos="446"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at all times an average portfolio credit quality of AA by S&amp;P and/or Aa by Moody’s</w:t>
      </w:r>
    </w:p>
    <w:p>
      <w:pPr>
        <w:spacing w:after="0" w:line="90" w:lineRule="exact"/>
        <w:rPr>
          <w:rFonts w:ascii="Arial" w:cs="Arial" w:eastAsia="Arial" w:hAnsi="Arial"/>
          <w:sz w:val="18"/>
          <w:szCs w:val="18"/>
          <w:b w:val="1"/>
          <w:bCs w:val="1"/>
          <w:color w:val="auto"/>
        </w:rPr>
      </w:pPr>
    </w:p>
    <w:p>
      <w:pPr>
        <w:ind w:left="446" w:right="220" w:hanging="446"/>
        <w:spacing w:after="0" w:line="268" w:lineRule="auto"/>
        <w:tabs>
          <w:tab w:leader="none" w:pos="446"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The Company may not borrow money for short-term investment purposes (need to distinguish investment of excess LIBOR borrowings in each traunch)</w:t>
      </w:r>
    </w:p>
    <w:p>
      <w:pPr>
        <w:spacing w:after="0" w:line="213"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Securities Approved for Investment (refer also to summary Exhibit I)</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U.S. Government and Government-sponsored Securities</w:t>
      </w:r>
    </w:p>
    <w:p>
      <w:pPr>
        <w:spacing w:after="0" w:line="90" w:lineRule="exact"/>
        <w:rPr>
          <w:sz w:val="20"/>
          <w:szCs w:val="20"/>
          <w:color w:val="auto"/>
        </w:rPr>
      </w:pPr>
    </w:p>
    <w:p>
      <w:pPr>
        <w:ind w:left="1026" w:hanging="567"/>
        <w:spacing w:after="0"/>
        <w:tabs>
          <w:tab w:leader="none" w:pos="102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Direct obligations of the U.S. Government</w:t>
      </w:r>
    </w:p>
    <w:p>
      <w:pPr>
        <w:spacing w:after="0" w:line="90" w:lineRule="exact"/>
        <w:rPr>
          <w:rFonts w:ascii="Arial" w:cs="Arial" w:eastAsia="Arial" w:hAnsi="Arial"/>
          <w:sz w:val="18"/>
          <w:szCs w:val="18"/>
          <w:color w:val="auto"/>
        </w:rPr>
      </w:pPr>
    </w:p>
    <w:p>
      <w:pPr>
        <w:ind w:left="1486" w:right="3800" w:hanging="1027"/>
        <w:spacing w:after="0" w:line="344" w:lineRule="auto"/>
        <w:tabs>
          <w:tab w:leader="none" w:pos="10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Government-sponsored Agency securities such as the following (but not limited to): Federal National Mortgage Association (FNMA)</w:t>
      </w:r>
    </w:p>
    <w:p>
      <w:pPr>
        <w:ind w:left="1486" w:right="6020"/>
        <w:spacing w:after="0" w:line="387" w:lineRule="auto"/>
        <w:rPr>
          <w:rFonts w:ascii="Arial" w:cs="Arial" w:eastAsia="Arial" w:hAnsi="Arial"/>
          <w:sz w:val="18"/>
          <w:szCs w:val="18"/>
          <w:color w:val="auto"/>
        </w:rPr>
      </w:pPr>
      <w:r>
        <w:rPr>
          <w:rFonts w:ascii="Arial" w:cs="Arial" w:eastAsia="Arial" w:hAnsi="Arial"/>
          <w:sz w:val="16"/>
          <w:szCs w:val="16"/>
          <w:color w:val="auto"/>
        </w:rPr>
        <w:t>Student Loan Marketing Association (SLMA) Federal Home Loan Bank (FHLB)</w:t>
      </w:r>
    </w:p>
    <w:p>
      <w:pPr>
        <w:ind w:left="1486" w:right="5460"/>
        <w:spacing w:after="0" w:line="344" w:lineRule="auto"/>
        <w:rPr>
          <w:rFonts w:ascii="Arial" w:cs="Arial" w:eastAsia="Arial" w:hAnsi="Arial"/>
          <w:sz w:val="18"/>
          <w:szCs w:val="18"/>
          <w:color w:val="auto"/>
        </w:rPr>
      </w:pPr>
      <w:r>
        <w:rPr>
          <w:rFonts w:ascii="Arial" w:cs="Arial" w:eastAsia="Arial" w:hAnsi="Arial"/>
          <w:sz w:val="18"/>
          <w:szCs w:val="18"/>
          <w:color w:val="auto"/>
        </w:rPr>
        <w:t>Federal Home Loan Mortgage Corporation (FHLMC) Federal Farm Credit Banks (FFCB)</w:t>
      </w:r>
    </w:p>
    <w:p>
      <w:pPr>
        <w:ind w:left="1486"/>
        <w:spacing w:after="0"/>
        <w:rPr>
          <w:rFonts w:ascii="Arial" w:cs="Arial" w:eastAsia="Arial" w:hAnsi="Arial"/>
          <w:sz w:val="18"/>
          <w:szCs w:val="18"/>
          <w:color w:val="auto"/>
        </w:rPr>
      </w:pPr>
      <w:r>
        <w:rPr>
          <w:rFonts w:ascii="Arial" w:cs="Arial" w:eastAsia="Arial" w:hAnsi="Arial"/>
          <w:sz w:val="18"/>
          <w:szCs w:val="18"/>
          <w:color w:val="auto"/>
        </w:rPr>
        <w:t>Tennessee Valley Authority (TVA) Power Bonds and Notes</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Repurchase Agreements (Repo)</w:t>
      </w:r>
    </w:p>
    <w:p>
      <w:pPr>
        <w:spacing w:after="0" w:line="96" w:lineRule="exact"/>
        <w:rPr>
          <w:sz w:val="20"/>
          <w:szCs w:val="20"/>
          <w:color w:val="auto"/>
        </w:rPr>
      </w:pPr>
    </w:p>
    <w:p>
      <w:pPr>
        <w:ind w:left="1026" w:hanging="567"/>
        <w:spacing w:after="0"/>
        <w:tabs>
          <w:tab w:leader="none" w:pos="102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Contra-party must meet criteria set forth in section III.</w:t>
      </w:r>
    </w:p>
    <w:p>
      <w:pPr>
        <w:spacing w:after="0" w:line="90" w:lineRule="exact"/>
        <w:rPr>
          <w:rFonts w:ascii="Arial" w:cs="Arial" w:eastAsia="Arial" w:hAnsi="Arial"/>
          <w:sz w:val="18"/>
          <w:szCs w:val="18"/>
          <w:color w:val="auto"/>
        </w:rPr>
      </w:pPr>
    </w:p>
    <w:p>
      <w:pPr>
        <w:ind w:left="1026" w:right="280" w:hanging="567"/>
        <w:spacing w:after="0" w:line="268" w:lineRule="auto"/>
        <w:tabs>
          <w:tab w:leader="none" w:pos="102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short-term rating of the contra-party broker, dealer or bank must be at least A1 by Standard &amp; Poors and P1 by Moody’s Investors Service.</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only acceptable collateral is:</w:t>
      </w:r>
    </w:p>
    <w:p>
      <w:pPr>
        <w:spacing w:after="0" w:line="90" w:lineRule="exact"/>
        <w:rPr>
          <w:rFonts w:ascii="Arial" w:cs="Arial" w:eastAsia="Arial" w:hAnsi="Arial"/>
          <w:sz w:val="18"/>
          <w:szCs w:val="18"/>
          <w:color w:val="auto"/>
        </w:rPr>
      </w:pPr>
    </w:p>
    <w:p>
      <w:pPr>
        <w:ind w:left="1926" w:hanging="441"/>
        <w:spacing w:after="0"/>
        <w:tabs>
          <w:tab w:leader="none" w:pos="192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United States Teasuries</w:t>
      </w:r>
    </w:p>
    <w:p>
      <w:pPr>
        <w:spacing w:after="0" w:line="90" w:lineRule="exact"/>
        <w:rPr>
          <w:rFonts w:ascii="Arial" w:cs="Arial" w:eastAsia="Arial" w:hAnsi="Arial"/>
          <w:sz w:val="18"/>
          <w:szCs w:val="18"/>
          <w:color w:val="auto"/>
        </w:rPr>
      </w:pPr>
    </w:p>
    <w:p>
      <w:pPr>
        <w:ind w:left="1926" w:hanging="441"/>
        <w:spacing w:after="0"/>
        <w:tabs>
          <w:tab w:leader="none" w:pos="192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United States Agencies as defined in section V.A.2.</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Bank Related Securities</w:t>
      </w:r>
    </w:p>
    <w:p>
      <w:pPr>
        <w:sectPr>
          <w:pgSz w:w="11900" w:h="16838" w:orient="portrait"/>
          <w:cols w:equalWidth="0" w:num="1">
            <w:col w:w="10746"/>
          </w:cols>
          <w:pgMar w:left="694" w:top="280" w:right="459" w:bottom="1440" w:gutter="0" w:footer="0" w:header="0"/>
        </w:sectPr>
      </w:pPr>
    </w:p>
    <w:p>
      <w:pPr>
        <w:spacing w:after="0" w:line="96"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Certificates of Deposit Time Deposits Commercial Paper Eurodollar Time Deposits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Medium Term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Bankers Acceptances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Bank Deposit Notes</w:t>
      </w:r>
    </w:p>
    <w:p>
      <w:pPr>
        <w:spacing w:after="0" w:line="107" w:lineRule="exact"/>
        <w:rPr>
          <w:sz w:val="20"/>
          <w:szCs w:val="20"/>
          <w:color w:val="auto"/>
        </w:rPr>
      </w:pPr>
    </w:p>
    <w:p>
      <w:pPr>
        <w:sectPr>
          <w:pgSz w:w="11900" w:h="16838" w:orient="portrait"/>
          <w:cols w:equalWidth="0" w:num="2">
            <w:col w:w="2286" w:space="300"/>
            <w:col w:w="8160"/>
          </w:cols>
          <w:pgMar w:left="694" w:top="280" w:right="459" w:bottom="1440" w:gutter="0" w:footer="0" w:header="0"/>
          <w:type w:val="continuous"/>
        </w:sectPr>
      </w:pPr>
    </w:p>
    <w:p>
      <w:pPr>
        <w:ind w:left="1026" w:hanging="567"/>
        <w:spacing w:after="0" w:line="259" w:lineRule="auto"/>
        <w:tabs>
          <w:tab w:leader="none" w:pos="10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Bank institution must carry a long-term rating of single-A by either Moody’s or Standard &amp; Poors, and/or a “1” rating by a Nationally Recognized Statistical Rating Organization (NRSRO) such as Moody’s Investors Service, Standard &amp; Poors, Fitch Investors Service, Duff and Phelps, and Thomson BankWatch.</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Corporate Debt Securities</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Commercial Paper</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Medium Term Notes</w:t>
      </w:r>
    </w:p>
    <w:p>
      <w:pPr>
        <w:sectPr>
          <w:pgSz w:w="11900" w:h="16838" w:orient="portrait"/>
          <w:cols w:equalWidth="0" w:num="1">
            <w:col w:w="10746"/>
          </w:cols>
          <w:pgMar w:left="694" w:top="280" w:right="459" w:bottom="1440" w:gutter="0" w:footer="0" w:header="0"/>
          <w:type w:val="continuous"/>
        </w:sectPr>
      </w:pPr>
    </w:p>
    <w:bookmarkStart w:id="159" w:name="page160"/>
    <w:bookmarkEnd w:id="159"/>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Bonds</w:t>
      </w:r>
    </w:p>
    <w:p>
      <w:pPr>
        <w:spacing w:after="0" w:line="90" w:lineRule="exact"/>
        <w:rPr>
          <w:sz w:val="20"/>
          <w:szCs w:val="20"/>
          <w:color w:val="auto"/>
        </w:rPr>
      </w:pPr>
    </w:p>
    <w:p>
      <w:pPr>
        <w:ind w:left="1026" w:hanging="567"/>
        <w:spacing w:after="0"/>
        <w:tabs>
          <w:tab w:leader="none" w:pos="102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Corporate issues of commercial paper must have minimum ratings of “A1” by Standard &amp; Poors and “P1” by Moody’s Investors Service.</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Other corporate debt instruments must have a long-term debt rating of at least AA by Moody’s and/or Standard &amp; Poors.</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Tax Exempt and Taxable Securities</w:t>
      </w:r>
    </w:p>
    <w:p>
      <w:pPr>
        <w:spacing w:after="0" w:line="9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Municipal Bonds</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Variable-Rate Put Bonds (VRDN’s)</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Municipal Notes</w:t>
      </w:r>
    </w:p>
    <w:p>
      <w:pPr>
        <w:spacing w:after="0" w:line="84" w:lineRule="exact"/>
        <w:rPr>
          <w:sz w:val="20"/>
          <w:szCs w:val="20"/>
          <w:color w:val="auto"/>
        </w:rPr>
      </w:pPr>
    </w:p>
    <w:p>
      <w:pPr>
        <w:ind w:left="1026" w:hanging="567"/>
        <w:spacing w:after="0"/>
        <w:tabs>
          <w:tab w:leader="none" w:pos="102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Bonds must carry a rating of at least single-A by Moody’s and/or Standard &amp; Poors.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Notes and “put” options must carry a rating of MIG 1/VMIG 1 Moody’s and/or A1 Standard &amp; Poors.</w:t>
      </w:r>
    </w:p>
    <w:p>
      <w:pPr>
        <w:spacing w:after="0" w:line="90" w:lineRule="exact"/>
        <w:rPr>
          <w:rFonts w:ascii="Arial" w:cs="Arial" w:eastAsia="Arial" w:hAnsi="Arial"/>
          <w:sz w:val="18"/>
          <w:szCs w:val="18"/>
          <w:color w:val="auto"/>
        </w:rPr>
      </w:pPr>
    </w:p>
    <w:p>
      <w:pPr>
        <w:ind w:left="1026" w:right="600" w:hanging="567"/>
        <w:spacing w:after="0" w:line="268" w:lineRule="auto"/>
        <w:tabs>
          <w:tab w:leader="none" w:pos="102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supporting bank letters of credit or guarantees must be of an institution whose debt rating is at least single-A by Moody’s and/or Standard &amp; Poors or meets those requirements set forth in D.1.</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Money Market Funds</w:t>
      </w:r>
    </w:p>
    <w:p>
      <w:pPr>
        <w:spacing w:after="0" w:line="96" w:lineRule="exact"/>
        <w:rPr>
          <w:sz w:val="20"/>
          <w:szCs w:val="20"/>
          <w:color w:val="auto"/>
        </w:rPr>
      </w:pPr>
    </w:p>
    <w:p>
      <w:pPr>
        <w:ind w:left="1026" w:hanging="567"/>
        <w:spacing w:after="0"/>
        <w:tabs>
          <w:tab w:leader="none" w:pos="10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 is restricted to any such fund that invests primarily in securities deemed acceptable for outright purchase.</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Domestic based money market funds shall be limited to 2a-7 funds. For additional diversification and liquidity, the fund shall have at least $5 Billion in assets as of the date the Company’s account is initially opened.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Money Funds shall be rated AAA by Moody and S&amp;P.</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Private Placement Offerings</w:t>
      </w:r>
    </w:p>
    <w:p>
      <w:pPr>
        <w:spacing w:after="0" w:line="96" w:lineRule="exact"/>
        <w:rPr>
          <w:sz w:val="20"/>
          <w:szCs w:val="20"/>
          <w:color w:val="auto"/>
        </w:rPr>
      </w:pPr>
    </w:p>
    <w:p>
      <w:pPr>
        <w:ind w:left="1026" w:right="420" w:hanging="567"/>
        <w:spacing w:after="0" w:line="259" w:lineRule="auto"/>
        <w:tabs>
          <w:tab w:leader="none" w:pos="102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Company can invest in privately offered 3c7 investment funds whose prospectus indicates that the fund will seek to maintain a constant $1.00 net asset value (NAV) per share. Fund must maintain a AAA rating from at least two of the following rating agencies: Moody’s, Standard and Poor’s, Duff and Phelps or Fitch.</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General Portfolio Parameters</w:t>
      </w:r>
    </w:p>
    <w:p>
      <w:pPr>
        <w:spacing w:after="0" w:line="96" w:lineRule="exact"/>
        <w:rPr>
          <w:sz w:val="20"/>
          <w:szCs w:val="20"/>
          <w:color w:val="auto"/>
        </w:rPr>
      </w:pPr>
    </w:p>
    <w:p>
      <w:pPr>
        <w:ind w:left="446" w:hanging="446"/>
        <w:spacing w:after="0" w:line="268" w:lineRule="auto"/>
        <w:tabs>
          <w:tab w:leader="none" w:pos="446"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No security shall be of a maturity longer than three (3) years at date of purchase, with the exception of “put” bonds or other “option” securities whose ultimate maturity might exceed this restriction but whose option allows for redemption within this limit.</w:t>
      </w:r>
    </w:p>
    <w:p>
      <w:pPr>
        <w:spacing w:after="0" w:line="50" w:lineRule="exact"/>
        <w:rPr>
          <w:rFonts w:ascii="Arial" w:cs="Arial" w:eastAsia="Arial" w:hAnsi="Arial"/>
          <w:sz w:val="18"/>
          <w:szCs w:val="18"/>
          <w:b w:val="1"/>
          <w:bCs w:val="1"/>
          <w:color w:val="auto"/>
        </w:rPr>
      </w:pPr>
    </w:p>
    <w:p>
      <w:pPr>
        <w:ind w:left="446" w:right="100" w:hanging="446"/>
        <w:spacing w:after="0" w:line="268" w:lineRule="auto"/>
        <w:tabs>
          <w:tab w:leader="none" w:pos="446"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The weighted-average maturity of the portfolio shall not exceed 18 months. The weighted-average maturity is the average length of time to maturity of investments in the portfolio weighted according to the face value of the investment.</w:t>
      </w:r>
    </w:p>
    <w:p>
      <w:pPr>
        <w:sectPr>
          <w:pgSz w:w="11900" w:h="16838" w:orient="portrait"/>
          <w:cols w:equalWidth="0" w:num="1">
            <w:col w:w="10966"/>
          </w:cols>
          <w:pgMar w:left="694" w:top="280" w:right="239" w:bottom="1440" w:gutter="0" w:footer="0" w:header="0"/>
        </w:sectPr>
      </w:pPr>
    </w:p>
    <w:bookmarkStart w:id="160" w:name="page161"/>
    <w:bookmarkEnd w:id="160"/>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portfolio shall at all times maintain an average credit quality of double-A by Moody’s and/or Standard &amp; Poors.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No single issuer or guarantor may represent more than ten percent (10%) of the total value of holdings.</w:t>
      </w:r>
    </w:p>
    <w:p>
      <w:pPr>
        <w:spacing w:after="0" w:line="90" w:lineRule="exact"/>
        <w:rPr>
          <w:rFonts w:ascii="Arial" w:cs="Arial" w:eastAsia="Arial" w:hAnsi="Arial"/>
          <w:sz w:val="18"/>
          <w:szCs w:val="18"/>
          <w:b w:val="1"/>
          <w:bCs w:val="1"/>
          <w:color w:val="auto"/>
        </w:rPr>
      </w:pPr>
    </w:p>
    <w:p>
      <w:pPr>
        <w:ind w:left="900" w:right="300" w:hanging="446"/>
        <w:spacing w:after="0" w:line="268" w:lineRule="auto"/>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No more than 30% of the portfolio is to be invested in any one issuer (excluding U.S. Treasury obligations, Federal Agency obligations including Government Sponsored Enterprises and the Banking/Finance sector).</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I - Part 2</w:t>
      </w:r>
      <w:r>
        <w:rPr>
          <w:rFonts w:ascii="Arial" w:cs="Arial" w:eastAsia="Arial" w:hAnsi="Arial"/>
          <w:sz w:val="18"/>
          <w:szCs w:val="18"/>
          <w:color w:val="auto"/>
        </w:rPr>
        <w:t xml:space="preserve"> for portfolio concentration limits.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securities must carry the rating as outlined above at time of purchase. Should ratings fall below these acceptable levels, the Chief Financial Officer or another person designated by the Chief Financial Officer will be notified immediately and a decision will be made as to what appropriate action will be taken.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Administration/Internal Controls</w:t>
      </w:r>
    </w:p>
    <w:p>
      <w:pPr>
        <w:spacing w:after="0" w:line="90"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Administration of the investment policy and execution of the investment strategy shall be the responsibility of the Chief Financial Officer.</w:t>
      </w:r>
    </w:p>
    <w:p>
      <w:pPr>
        <w:spacing w:after="0" w:line="113" w:lineRule="exact"/>
        <w:rPr>
          <w:rFonts w:ascii="Arial" w:cs="Arial" w:eastAsia="Arial" w:hAnsi="Arial"/>
          <w:sz w:val="16"/>
          <w:szCs w:val="16"/>
          <w:b w:val="1"/>
          <w:bCs w:val="1"/>
          <w:color w:val="auto"/>
        </w:rPr>
      </w:pPr>
    </w:p>
    <w:p>
      <w:pPr>
        <w:ind w:left="900" w:hanging="446"/>
        <w:spacing w:after="0" w:line="330" w:lineRule="auto"/>
        <w:tabs>
          <w:tab w:leader="none" w:pos="90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The Chief Financial Officer or another person designated by the Chief Financial Officer may authorize investments permitted by this policy. No other persons are authorized to make investments except for interest bearing deposits at the bank where the Company has its accounts.</w:t>
      </w:r>
    </w:p>
    <w:p>
      <w:pPr>
        <w:spacing w:after="0" w:line="7" w:lineRule="exact"/>
        <w:rPr>
          <w:rFonts w:ascii="Arial" w:cs="Arial" w:eastAsia="Arial" w:hAnsi="Arial"/>
          <w:sz w:val="16"/>
          <w:szCs w:val="16"/>
          <w:b w:val="1"/>
          <w:bCs w:val="1"/>
          <w:color w:val="auto"/>
        </w:rPr>
      </w:pPr>
    </w:p>
    <w:p>
      <w:pPr>
        <w:ind w:left="900" w:hanging="446"/>
        <w:spacing w:after="0"/>
        <w:tabs>
          <w:tab w:leader="none" w:pos="90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There will be a Monthly Portfolio Report submitted each month for management review.</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Chief Financial Officer and Director of Finance are authorized to administer and execute this Investment Policy to include:</w:t>
      </w:r>
    </w:p>
    <w:p>
      <w:pPr>
        <w:spacing w:after="0" w:line="113" w:lineRule="exact"/>
        <w:rPr>
          <w:sz w:val="20"/>
          <w:szCs w:val="20"/>
          <w:color w:val="auto"/>
        </w:rPr>
      </w:pPr>
    </w:p>
    <w:p>
      <w:pPr>
        <w:ind w:left="900" w:right="80" w:hanging="446"/>
        <w:spacing w:after="0" w:line="268" w:lineRule="auto"/>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The establishment and maintenance of files for all accounts with broker-dealers or asset managers and related transaction confirmations and periodic account statements</w:t>
      </w:r>
    </w:p>
    <w:p>
      <w:pPr>
        <w:spacing w:after="0" w:line="50" w:lineRule="exact"/>
        <w:rPr>
          <w:rFonts w:ascii="Arial" w:cs="Arial" w:eastAsia="Arial" w:hAnsi="Arial"/>
          <w:sz w:val="18"/>
          <w:szCs w:val="18"/>
          <w:b w:val="1"/>
          <w:bCs w:val="1"/>
          <w:color w:val="auto"/>
        </w:rPr>
      </w:pPr>
    </w:p>
    <w:p>
      <w:pPr>
        <w:ind w:left="900" w:right="280" w:hanging="446"/>
        <w:spacing w:after="0" w:line="268" w:lineRule="auto"/>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The preparation of journal entries on a monthly basis to accrue investment income earned on investments, amortization of premiums or discounts, cash receipts and fund transfers</w:t>
      </w:r>
    </w:p>
    <w:p>
      <w:pPr>
        <w:spacing w:after="0" w:line="50" w:lineRule="exact"/>
        <w:rPr>
          <w:rFonts w:ascii="Arial" w:cs="Arial" w:eastAsia="Arial" w:hAnsi="Arial"/>
          <w:sz w:val="18"/>
          <w:szCs w:val="18"/>
          <w:b w:val="1"/>
          <w:bCs w:val="1"/>
          <w:color w:val="auto"/>
        </w:rPr>
      </w:pPr>
    </w:p>
    <w:p>
      <w:pPr>
        <w:ind w:left="900" w:right="680" w:hanging="446"/>
        <w:spacing w:after="0" w:line="268" w:lineRule="auto"/>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The reconciliation of all periodic account statements received from the organizations investing the company’s cash, and from the company’s custodian, to the general ledger</w:t>
      </w:r>
    </w:p>
    <w:p>
      <w:pPr>
        <w:spacing w:after="0" w:line="50" w:lineRule="exact"/>
        <w:rPr>
          <w:rFonts w:ascii="Arial" w:cs="Arial" w:eastAsia="Arial" w:hAnsi="Arial"/>
          <w:sz w:val="18"/>
          <w:szCs w:val="18"/>
          <w:b w:val="1"/>
          <w:bCs w:val="1"/>
          <w:color w:val="auto"/>
        </w:rPr>
      </w:pPr>
    </w:p>
    <w:p>
      <w:pPr>
        <w:ind w:left="900" w:right="200" w:hanging="446"/>
        <w:spacing w:after="0" w:line="268" w:lineRule="auto"/>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The notification to an investment provider in the event of any change in the company’s investment policy objectives, authorized persons or income tax status</w:t>
      </w:r>
    </w:p>
    <w:p>
      <w:pPr>
        <w:spacing w:after="0" w:line="50" w:lineRule="exact"/>
        <w:rPr>
          <w:rFonts w:ascii="Arial" w:cs="Arial" w:eastAsia="Arial" w:hAnsi="Arial"/>
          <w:sz w:val="18"/>
          <w:szCs w:val="18"/>
          <w:b w:val="1"/>
          <w:bCs w:val="1"/>
          <w:color w:val="auto"/>
        </w:rPr>
      </w:pPr>
    </w:p>
    <w:p>
      <w:pPr>
        <w:ind w:left="900" w:right="760" w:hanging="446"/>
        <w:spacing w:after="0" w:line="268" w:lineRule="auto"/>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Confirming that an account at a broker-dealer or asset manager conforms to the terms of this investment policy statement and notifying the investment provider in the event of non-conformance</w:t>
      </w:r>
    </w:p>
    <w:p>
      <w:pPr>
        <w:sectPr>
          <w:pgSz w:w="11900" w:h="16838" w:orient="portrait"/>
          <w:cols w:equalWidth="0" w:num="1">
            <w:col w:w="11420"/>
          </w:cols>
          <w:pgMar w:left="240" w:top="280" w:right="239" w:bottom="1440" w:gutter="0" w:footer="0" w:header="0"/>
        </w:sectPr>
      </w:pPr>
    </w:p>
    <w:bookmarkStart w:id="161" w:name="page162"/>
    <w:bookmarkEnd w:id="161"/>
    <w:p>
      <w:pPr>
        <w:ind w:left="446" w:hanging="446"/>
        <w:spacing w:after="0"/>
        <w:tabs>
          <w:tab w:leader="none" w:pos="446" w:val="left"/>
        </w:tabs>
        <w:numPr>
          <w:ilvl w:val="0"/>
          <w:numId w:val="168"/>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updates SAS 70 on a yearly basis</w:t>
      </w:r>
    </w:p>
    <w:p>
      <w:pPr>
        <w:sectPr>
          <w:pgSz w:w="11900" w:h="16838" w:orient="portrait"/>
          <w:cols w:equalWidth="0" w:num="1">
            <w:col w:w="9765"/>
          </w:cols>
          <w:pgMar w:left="694" w:top="280"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 - Part 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Minimum</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Security Type</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Rating</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Maximum</w:t>
            </w: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Single Issuer % of</w:t>
            </w:r>
          </w:p>
        </w:tc>
        <w:tc>
          <w:tcPr>
            <w:tcW w:w="0" w:type="dxa"/>
            <w:vAlign w:val="bottom"/>
          </w:tcPr>
          <w:p>
            <w:pPr>
              <w:spacing w:after="0"/>
              <w:rPr>
                <w:sz w:val="1"/>
                <w:szCs w:val="1"/>
                <w:color w:val="auto"/>
              </w:rPr>
            </w:pPr>
          </w:p>
        </w:tc>
      </w:tr>
      <w:tr>
        <w:trPr>
          <w:trHeight w:val="155"/>
        </w:trPr>
        <w:tc>
          <w:tcPr>
            <w:tcW w:w="5640" w:type="dxa"/>
            <w:vAlign w:val="bottom"/>
            <w:gridSpan w:val="3"/>
            <w:vMerge w:val="continue"/>
          </w:tcPr>
          <w:p>
            <w:pPr>
              <w:spacing w:after="0"/>
              <w:rPr>
                <w:sz w:val="13"/>
                <w:szCs w:val="13"/>
                <w:color w:val="auto"/>
              </w:rPr>
            </w:pPr>
          </w:p>
        </w:tc>
        <w:tc>
          <w:tcPr>
            <w:tcW w:w="14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9"/>
              </w:rPr>
              <w:t>S&amp;P/Moody’s</w:t>
            </w:r>
          </w:p>
        </w:tc>
        <w:tc>
          <w:tcPr>
            <w:tcW w:w="12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5"/>
              </w:rPr>
              <w:t>Maturity</w:t>
            </w:r>
          </w:p>
        </w:tc>
        <w:tc>
          <w:tcPr>
            <w:tcW w:w="2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Maximum % of Portfolio</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Portfolio</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Treasuries/Agencies/Repos</w:t>
            </w: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rPr>
              <w:t>A/A</w:t>
            </w:r>
          </w:p>
        </w:tc>
        <w:tc>
          <w:tcPr>
            <w:tcW w:w="12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4"/>
              </w:rPr>
              <w:t>3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A1/P1</w:t>
            </w: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color w:val="auto"/>
                <w:w w:val="84"/>
              </w:rPr>
              <w:t>270 days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5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CDs, Banker’s Acceptances, Bank Notes</w:t>
            </w:r>
          </w:p>
        </w:tc>
        <w:tc>
          <w:tcPr>
            <w:tcW w:w="14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A1/P1</w:t>
            </w:r>
          </w:p>
        </w:tc>
        <w:tc>
          <w:tcPr>
            <w:tcW w:w="12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1 year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rPr>
              <w:t>A/A</w:t>
            </w: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color w:val="auto"/>
                <w:w w:val="84"/>
              </w:rPr>
              <w:t>3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5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Municipal Bonds</w:t>
            </w: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rPr>
              <w:t>A/A</w:t>
            </w:r>
          </w:p>
        </w:tc>
        <w:tc>
          <w:tcPr>
            <w:tcW w:w="12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4"/>
              </w:rPr>
              <w:t>3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Tax Exempt Municipals</w:t>
            </w: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rPr>
              <w:t>A/A</w:t>
            </w: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color w:val="auto"/>
                <w:w w:val="84"/>
              </w:rPr>
              <w:t>3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5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Securities</w:t>
            </w:r>
          </w:p>
        </w:tc>
        <w:tc>
          <w:tcPr>
            <w:tcW w:w="142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rPr>
              <w:t>A/A</w:t>
            </w:r>
          </w:p>
        </w:tc>
        <w:tc>
          <w:tcPr>
            <w:tcW w:w="12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4"/>
              </w:rPr>
              <w:t>3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Am/A-</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MR2</w:t>
            </w: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N/A</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SCHEDULE 2.01</w:t>
            </w:r>
          </w:p>
        </w:tc>
        <w:tc>
          <w:tcPr>
            <w:tcW w:w="35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7"/>
        </w:trPr>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100" w:type="dxa"/>
            <w:vAlign w:val="bottom"/>
            <w:gridSpan w:val="4"/>
          </w:tcPr>
          <w:p>
            <w:pPr>
              <w:jc w:val="center"/>
              <w:ind w:right="1308"/>
              <w:spacing w:after="0"/>
              <w:rPr>
                <w:sz w:val="20"/>
                <w:szCs w:val="20"/>
                <w:color w:val="auto"/>
              </w:rPr>
            </w:pPr>
            <w:r>
              <w:rPr>
                <w:rFonts w:ascii="Arial" w:cs="Arial" w:eastAsia="Arial" w:hAnsi="Arial"/>
                <w:sz w:val="18"/>
                <w:szCs w:val="18"/>
                <w:b w:val="1"/>
                <w:bCs w:val="1"/>
                <w:color w:val="auto"/>
                <w:w w:val="88"/>
              </w:rPr>
              <w:t>Revolving Lenders and Revolving Loan Commitments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Lender</w:t>
            </w: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1"/>
              </w:rPr>
              <w:t>Revolving Loan Commitment</w:t>
            </w:r>
          </w:p>
        </w:tc>
      </w:tr>
      <w:tr>
        <w:trPr>
          <w:trHeight w:val="203"/>
        </w:trPr>
        <w:tc>
          <w:tcPr>
            <w:tcW w:w="2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JPMorgan Chase Bank, N.A.</w:t>
            </w:r>
          </w:p>
        </w:tc>
        <w:tc>
          <w:tcPr>
            <w:tcW w:w="2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7100" w:type="dxa"/>
            <w:vAlign w:val="bottom"/>
            <w:gridSpan w:val="4"/>
          </w:tcPr>
          <w:p>
            <w:pPr>
              <w:jc w:val="right"/>
              <w:ind w:right="188"/>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1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w:t>
            </w:r>
          </w:p>
        </w:tc>
        <w:tc>
          <w:tcPr>
            <w:tcW w:w="71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Amegy Bank, N.A.</w:t>
            </w:r>
          </w:p>
        </w:tc>
        <w:tc>
          <w:tcPr>
            <w:tcW w:w="7100" w:type="dxa"/>
            <w:vAlign w:val="bottom"/>
            <w:gridSpan w:val="4"/>
          </w:tcPr>
          <w:p>
            <w:pPr>
              <w:jc w:val="right"/>
              <w:ind w:right="188"/>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22,500,000.00</w:t>
            </w:r>
          </w:p>
        </w:tc>
        <w:tc>
          <w:tcPr>
            <w:tcW w:w="1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Montreal</w:t>
            </w:r>
          </w:p>
        </w:tc>
        <w:tc>
          <w:tcPr>
            <w:tcW w:w="71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22,500,000.00</w:t>
            </w:r>
          </w:p>
        </w:tc>
        <w:tc>
          <w:tcPr>
            <w:tcW w:w="100" w:type="dxa"/>
            <w:vAlign w:val="bottom"/>
            <w:shd w:val="clear" w:color="auto" w:fill="CCEEFF"/>
          </w:tcPr>
          <w:p>
            <w:pPr>
              <w:spacing w:after="0"/>
              <w:rPr>
                <w:sz w:val="18"/>
                <w:szCs w:val="18"/>
                <w:color w:val="auto"/>
              </w:rPr>
            </w:pPr>
          </w:p>
        </w:tc>
      </w:tr>
      <w:tr>
        <w:trPr>
          <w:trHeight w:val="228"/>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100" w:type="dxa"/>
            <w:vAlign w:val="bottom"/>
            <w:gridSpan w:val="4"/>
          </w:tcPr>
          <w:p>
            <w:pPr>
              <w:jc w:val="right"/>
              <w:ind w:right="188"/>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125,000,000.00</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257"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Properties Subject to Title Defects that Might Interfere with</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Ability to Conduct Business as Currently Conducted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 to Utilize Such Properties for their Intended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3.06</w:t>
      </w:r>
    </w:p>
    <w:p>
      <w:pPr>
        <w:sectPr>
          <w:pgSz w:w="11900" w:h="16838" w:orient="portrait"/>
          <w:cols w:equalWidth="0" w:num="1">
            <w:col w:w="9019"/>
          </w:cols>
          <w:pgMar w:left="1440" w:top="274"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Litigation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type w:val="continuous"/>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3.10(a)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ERISA Events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2010, the pension plan trustees of the Millwrights and Machinery Erectors 1545 Pension Fund (the “Fund”) filed a lawsuit against Matrix Services, LLC for its alleged share of the Fund’s accumulated funding deficiencies for fund years 2003 through 2007 of approximately $366,000. Matrix Services, LLC, the named defendant, is not an existing affiliate entity of the Company. The Company expects that an amended pleading will be filed correcting the name of the defendant to one or the other or both of the following defendants: Matrix Service Specialized Transport, Inc. fka Frank W. Hake, Inc. and/or Matrix Service Industrial Contractors, Inc.</w:t>
      </w:r>
    </w:p>
    <w:p>
      <w:pPr>
        <w:sectPr>
          <w:pgSz w:w="11900" w:h="16838" w:orient="portrait"/>
          <w:cols w:equalWidth="0" w:num="1">
            <w:col w:w="11360"/>
          </w:cols>
          <w:pgMar w:left="240" w:top="274" w:right="299" w:bottom="1440" w:gutter="0" w:footer="0" w:header="0"/>
        </w:sectPr>
      </w:pPr>
    </w:p>
    <w:bookmarkStart w:id="167" w:name="page168"/>
    <w:bookmarkEnd w:id="167"/>
    <w:p>
      <w:pPr>
        <w:ind w:left="5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3.13</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Subsidiaries (List of All Subsidiaries, with Jurisdictions of Organization,</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Ownership Percentages Held by the Company or other Subsidiaries)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Parent Company: Matrix Service Company</w:t>
      </w:r>
      <w:r>
        <w:rPr>
          <w:rFonts w:ascii="Arial" w:cs="Arial" w:eastAsia="Arial" w:hAnsi="Arial"/>
          <w:sz w:val="16"/>
          <w:szCs w:val="16"/>
          <w:color w:val="auto"/>
        </w:rPr>
        <w:t>, a Delaware corporation (the Company) - Total Authorized Capital: 65,000,000 total shares. Classes: 60,000,000</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 at $0.01 par value and 5,000,000 shares of preferred stock at $0.01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Industrial</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500 shares of</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Oklahoma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10701 East Ute</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Contractors,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500 shares of common</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Street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$1.00 par value</w:t>
            </w: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Tulsa, OK 74146</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920" w:type="dxa"/>
            <w:vAlign w:val="bottom"/>
            <w:gridSpan w:val="2"/>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Matrix Service Inc.</w:t>
            </w:r>
          </w:p>
        </w:tc>
        <w:tc>
          <w:tcPr>
            <w:tcW w:w="1260" w:type="dxa"/>
            <w:vAlign w:val="bottom"/>
          </w:tcPr>
          <w:p>
            <w:pPr>
              <w:spacing w:after="0"/>
              <w:rPr>
                <w:sz w:val="20"/>
                <w:szCs w:val="20"/>
                <w:color w:val="auto"/>
              </w:rPr>
            </w:pPr>
            <w:r>
              <w:rPr>
                <w:rFonts w:ascii="Arial" w:cs="Arial" w:eastAsia="Arial" w:hAnsi="Arial"/>
                <w:sz w:val="18"/>
                <w:szCs w:val="18"/>
                <w:color w:val="auto"/>
                <w:w w:val="99"/>
              </w:rPr>
              <w:t>5,000 shares of</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Oklahoma</w:t>
            </w:r>
          </w:p>
        </w:tc>
        <w:tc>
          <w:tcPr>
            <w:tcW w:w="1380" w:type="dxa"/>
            <w:vAlign w:val="bottom"/>
            <w:gridSpan w:val="2"/>
          </w:tcPr>
          <w:p>
            <w:pPr>
              <w:spacing w:after="0"/>
              <w:rPr>
                <w:sz w:val="20"/>
                <w:szCs w:val="20"/>
                <w:color w:val="auto"/>
              </w:rPr>
            </w:pPr>
            <w:r>
              <w:rPr>
                <w:rFonts w:ascii="Arial" w:cs="Arial" w:eastAsia="Arial" w:hAnsi="Arial"/>
                <w:sz w:val="18"/>
                <w:szCs w:val="18"/>
                <w:color w:val="auto"/>
              </w:rPr>
              <w:t>Matrix Service</w:t>
            </w:r>
          </w:p>
        </w:tc>
        <w:tc>
          <w:tcPr>
            <w:tcW w:w="1820" w:type="dxa"/>
            <w:vAlign w:val="bottom"/>
          </w:tcPr>
          <w:p>
            <w:pPr>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8"/>
              </w:rPr>
              <w:t>10701 East Ute</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8"/>
              </w:rPr>
              <w:t>common stock @</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500 shares of common</w:t>
            </w:r>
          </w:p>
        </w:tc>
        <w:tc>
          <w:tcPr>
            <w:tcW w:w="1240" w:type="dxa"/>
            <w:vAlign w:val="bottom"/>
          </w:tcPr>
          <w:p>
            <w:pPr>
              <w:spacing w:after="0"/>
              <w:rPr>
                <w:sz w:val="20"/>
                <w:szCs w:val="20"/>
                <w:color w:val="auto"/>
              </w:rPr>
            </w:pPr>
            <w:r>
              <w:rPr>
                <w:rFonts w:ascii="Arial" w:cs="Arial" w:eastAsia="Arial" w:hAnsi="Arial"/>
                <w:sz w:val="18"/>
                <w:szCs w:val="18"/>
                <w:color w:val="auto"/>
              </w:rPr>
              <w:t>Street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auto"/>
                <w:w w:val="99"/>
              </w:rPr>
              <w:t>$1.00 par value</w:t>
            </w: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stock</w:t>
            </w:r>
          </w:p>
        </w:tc>
        <w:tc>
          <w:tcPr>
            <w:tcW w:w="1240" w:type="dxa"/>
            <w:vAlign w:val="bottom"/>
            <w:vMerge w:val="restart"/>
          </w:tcPr>
          <w:p>
            <w:pPr>
              <w:spacing w:after="0"/>
              <w:rPr>
                <w:sz w:val="20"/>
                <w:szCs w:val="20"/>
                <w:color w:val="auto"/>
              </w:rPr>
            </w:pPr>
            <w:r>
              <w:rPr>
                <w:rFonts w:ascii="Arial" w:cs="Arial" w:eastAsia="Arial" w:hAnsi="Arial"/>
                <w:sz w:val="18"/>
                <w:szCs w:val="18"/>
                <w:color w:val="auto"/>
                <w:w w:val="90"/>
              </w:rPr>
              <w:t>Tulsa, OK 74146</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spacing w:after="0" w:line="215" w:lineRule="auto"/>
        <w:framePr w:w="1560" w:h="373" w:wrap="auto" w:vAnchor="page" w:hAnchor="page" w:x="9020" w:y="2158"/>
        <w:rPr>
          <w:rFonts w:ascii="Arial" w:cs="Arial" w:eastAsia="Arial" w:hAnsi="Arial"/>
          <w:sz w:val="18"/>
          <w:szCs w:val="18"/>
          <w:color w:val="auto"/>
        </w:rPr>
      </w:pPr>
      <w:r>
        <w:rPr>
          <w:rFonts w:ascii="Arial" w:cs="Arial" w:eastAsia="Arial" w:hAnsi="Arial"/>
          <w:sz w:val="18"/>
          <w:szCs w:val="18"/>
          <w:color w:val="auto"/>
        </w:rPr>
        <w:t>10701 East Ute N Street</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Ontario, Canada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473 Scott Road</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common and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(OK)</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500 shares of common</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Sarnia, Ontario</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N7T 7W1</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920" w:type="dxa"/>
            <w:vAlign w:val="bottom"/>
            <w:gridSpan w:val="2"/>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rPr>
          <w:rFonts w:ascii="Arial" w:cs="Arial" w:eastAsia="Arial" w:hAnsi="Arial"/>
          <w:sz w:val="18"/>
          <w:szCs w:val="18"/>
          <w:color w:val="auto"/>
        </w:rPr>
        <w:sectPr>
          <w:pgSz w:w="11900" w:h="16838" w:orient="portrait"/>
          <w:cols w:equalWidth="0" w:num="1">
            <w:col w:w="11420"/>
          </w:cols>
          <w:pgMar w:left="240" w:top="263" w:right="239" w:bottom="1440" w:gutter="0" w:footer="0" w:header="0"/>
        </w:sect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0" w:lineRule="exact"/>
        <w:rPr>
          <w:rFonts w:ascii="Arial" w:cs="Arial" w:eastAsia="Arial" w:hAnsi="Arial"/>
          <w:sz w:val="18"/>
          <w:szCs w:val="18"/>
          <w:color w:val="auto"/>
        </w:rPr>
      </w:pPr>
    </w:p>
    <w:p>
      <w:pPr>
        <w:spacing w:after="0"/>
        <w:tabs>
          <w:tab w:leader="none" w:pos="4120" w:val="left"/>
          <w:tab w:leader="none" w:pos="5500" w:val="left"/>
        </w:tabs>
        <w:rPr>
          <w:sz w:val="20"/>
          <w:szCs w:val="20"/>
          <w:color w:val="auto"/>
        </w:rPr>
      </w:pPr>
      <w:r>
        <w:rPr>
          <w:rFonts w:ascii="Arial" w:cs="Arial" w:eastAsia="Arial" w:hAnsi="Arial"/>
          <w:sz w:val="18"/>
          <w:szCs w:val="18"/>
          <w:color w:val="auto"/>
        </w:rPr>
        <w:t>Matrix Service, Inc., Panama ***</w:t>
      </w:r>
      <w:r>
        <w:rPr>
          <w:sz w:val="20"/>
          <w:szCs w:val="20"/>
          <w:color w:val="auto"/>
        </w:rPr>
        <w:tab/>
      </w:r>
      <w:r>
        <w:rPr>
          <w:rFonts w:ascii="Arial" w:cs="Arial" w:eastAsia="Arial" w:hAnsi="Arial"/>
          <w:sz w:val="18"/>
          <w:szCs w:val="18"/>
          <w:color w:val="auto"/>
        </w:rPr>
        <w:t>Panama</w:t>
      </w:r>
      <w:r>
        <w:rPr>
          <w:sz w:val="20"/>
          <w:szCs w:val="20"/>
          <w:color w:val="auto"/>
        </w:rPr>
        <w:tab/>
      </w:r>
      <w:r>
        <w:rPr>
          <w:rFonts w:ascii="Arial" w:cs="Arial" w:eastAsia="Arial" w:hAnsi="Arial"/>
          <w:sz w:val="16"/>
          <w:szCs w:val="16"/>
          <w:color w:val="auto"/>
        </w:rPr>
        <w:t>Matrix Service</w:t>
      </w:r>
    </w:p>
    <w:p>
      <w:pPr>
        <w:spacing w:after="0" w:line="15"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Company</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100%</w:t>
      </w:r>
    </w:p>
    <w:p>
      <w:pPr>
        <w:spacing w:after="0" w:line="9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less 1 share owned by</w:t>
      </w:r>
    </w:p>
    <w:p>
      <w:pPr>
        <w:spacing w:after="0" w:line="15" w:lineRule="exact"/>
        <w:rPr>
          <w:rFonts w:ascii="Arial" w:cs="Arial" w:eastAsia="Arial" w:hAnsi="Arial"/>
          <w:sz w:val="18"/>
          <w:szCs w:val="18"/>
          <w:color w:val="auto"/>
        </w:rPr>
      </w:pPr>
    </w:p>
    <w:p>
      <w:pPr>
        <w:ind w:right="1380"/>
        <w:spacing w:after="0" w:line="261" w:lineRule="auto"/>
        <w:rPr>
          <w:sz w:val="20"/>
          <w:szCs w:val="20"/>
          <w:color w:val="auto"/>
        </w:rPr>
      </w:pPr>
      <w:r>
        <w:rPr>
          <w:rFonts w:ascii="Arial" w:cs="Arial" w:eastAsia="Arial" w:hAnsi="Arial"/>
          <w:sz w:val="18"/>
          <w:szCs w:val="18"/>
          <w:color w:val="auto"/>
        </w:rPr>
        <w:t>local citizen on board of Tulsa, OK 74146 directors</w:t>
      </w:r>
    </w:p>
    <w:p>
      <w:pPr>
        <w:spacing w:after="0" w:line="106" w:lineRule="exact"/>
        <w:rPr>
          <w:rFonts w:ascii="Arial" w:cs="Arial" w:eastAsia="Arial" w:hAnsi="Arial"/>
          <w:sz w:val="18"/>
          <w:szCs w:val="18"/>
          <w:color w:val="auto"/>
        </w:rPr>
      </w:pPr>
    </w:p>
    <w:p>
      <w:pPr>
        <w:sectPr>
          <w:pgSz w:w="11900" w:h="16838" w:orient="portrait"/>
          <w:cols w:equalWidth="0" w:num="2">
            <w:col w:w="6560" w:space="340"/>
            <w:col w:w="4520"/>
          </w:cols>
          <w:pgMar w:left="240" w:top="263"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San Luis Tank S.A. de C.V. ***</w:t>
            </w:r>
          </w:p>
        </w:tc>
        <w:tc>
          <w:tcPr>
            <w:tcW w:w="24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Mexico</w:t>
            </w:r>
          </w:p>
        </w:tc>
        <w:tc>
          <w:tcPr>
            <w:tcW w:w="1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Matrix Service</w:t>
            </w: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100%</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10701 East Ute</w:t>
            </w:r>
          </w:p>
        </w:tc>
        <w:tc>
          <w:tcPr>
            <w:tcW w:w="1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w:t>
            </w:r>
          </w:p>
        </w:tc>
        <w:tc>
          <w:tcPr>
            <w:tcW w:w="19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less 1 share owned by</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Street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920" w:type="dxa"/>
            <w:vAlign w:val="bottom"/>
            <w:vMerge w:val="continue"/>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local citizen on board of</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Tulsa, OK 74146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directors</w:t>
            </w:r>
          </w:p>
        </w:tc>
        <w:tc>
          <w:tcPr>
            <w:tcW w:w="1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700" w:type="dxa"/>
            <w:vAlign w:val="bottom"/>
          </w:tcPr>
          <w:p>
            <w:pPr>
              <w:spacing w:after="0"/>
              <w:rPr>
                <w:sz w:val="20"/>
                <w:szCs w:val="20"/>
                <w:color w:val="auto"/>
              </w:rPr>
            </w:pPr>
            <w:r>
              <w:rPr>
                <w:rFonts w:ascii="Arial" w:cs="Arial" w:eastAsia="Arial" w:hAnsi="Arial"/>
                <w:sz w:val="18"/>
                <w:szCs w:val="18"/>
                <w:color w:val="auto"/>
                <w:w w:val="92"/>
              </w:rPr>
              <w:t>Matrix Service Industrial Contractors</w:t>
            </w:r>
          </w:p>
        </w:tc>
        <w:tc>
          <w:tcPr>
            <w:tcW w:w="2460" w:type="dxa"/>
            <w:vAlign w:val="bottom"/>
          </w:tcPr>
          <w:p>
            <w:pPr>
              <w:ind w:left="60"/>
              <w:spacing w:after="0"/>
              <w:rPr>
                <w:sz w:val="20"/>
                <w:szCs w:val="20"/>
                <w:color w:val="auto"/>
              </w:rPr>
            </w:pPr>
            <w:r>
              <w:rPr>
                <w:rFonts w:ascii="Arial" w:cs="Arial" w:eastAsia="Arial" w:hAnsi="Arial"/>
                <w:sz w:val="18"/>
                <w:szCs w:val="18"/>
                <w:color w:val="auto"/>
              </w:rPr>
              <w:t>50,000 shares of   Delaware</w:t>
            </w:r>
          </w:p>
        </w:tc>
        <w:tc>
          <w:tcPr>
            <w:tcW w:w="1640" w:type="dxa"/>
            <w:vAlign w:val="bottom"/>
          </w:tcPr>
          <w:p>
            <w:pPr>
              <w:ind w:left="360"/>
              <w:spacing w:after="0"/>
              <w:rPr>
                <w:sz w:val="20"/>
                <w:szCs w:val="20"/>
                <w:color w:val="auto"/>
              </w:rPr>
            </w:pPr>
            <w:r>
              <w:rPr>
                <w:rFonts w:ascii="Arial" w:cs="Arial" w:eastAsia="Arial" w:hAnsi="Arial"/>
                <w:sz w:val="18"/>
                <w:szCs w:val="18"/>
                <w:color w:val="auto"/>
              </w:rPr>
              <w:t>Matrix Service</w:t>
            </w:r>
          </w:p>
        </w:tc>
        <w:tc>
          <w:tcPr>
            <w:tcW w:w="1920" w:type="dxa"/>
            <w:vAlign w:val="bottom"/>
          </w:tcPr>
          <w:p>
            <w:pPr>
              <w:ind w:left="100"/>
              <w:spacing w:after="0"/>
              <w:rPr>
                <w:sz w:val="20"/>
                <w:szCs w:val="20"/>
                <w:color w:val="auto"/>
              </w:rPr>
            </w:pPr>
            <w:r>
              <w:rPr>
                <w:rFonts w:ascii="Arial" w:cs="Arial" w:eastAsia="Arial" w:hAnsi="Arial"/>
                <w:sz w:val="18"/>
                <w:szCs w:val="18"/>
                <w:color w:val="auto"/>
              </w:rPr>
              <w:t>100%</w:t>
            </w:r>
          </w:p>
        </w:tc>
        <w:tc>
          <w:tcPr>
            <w:tcW w:w="1380" w:type="dxa"/>
            <w:vAlign w:val="bottom"/>
          </w:tcPr>
          <w:p>
            <w:pPr>
              <w:ind w:left="100"/>
              <w:spacing w:after="0"/>
              <w:rPr>
                <w:sz w:val="20"/>
                <w:szCs w:val="20"/>
                <w:color w:val="auto"/>
              </w:rPr>
            </w:pPr>
            <w:r>
              <w:rPr>
                <w:rFonts w:ascii="Arial" w:cs="Arial" w:eastAsia="Arial" w:hAnsi="Arial"/>
                <w:sz w:val="18"/>
                <w:szCs w:val="18"/>
                <w:color w:val="auto"/>
              </w:rPr>
              <w:t>1500 Chester</w:t>
            </w:r>
          </w:p>
        </w:tc>
        <w:tc>
          <w:tcPr>
            <w:tcW w:w="1320" w:type="dxa"/>
            <w:vAlign w:val="bottom"/>
          </w:tcPr>
          <w:p>
            <w:pPr>
              <w:ind w:left="8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Canada, Inc.</w:t>
            </w:r>
          </w:p>
        </w:tc>
        <w:tc>
          <w:tcPr>
            <w:tcW w:w="2460" w:type="dxa"/>
            <w:vAlign w:val="bottom"/>
          </w:tcPr>
          <w:p>
            <w:pPr>
              <w:ind w:left="60"/>
              <w:spacing w:after="0"/>
              <w:rPr>
                <w:sz w:val="20"/>
                <w:szCs w:val="20"/>
                <w:color w:val="auto"/>
              </w:rPr>
            </w:pPr>
            <w:r>
              <w:rPr>
                <w:rFonts w:ascii="Arial" w:cs="Arial" w:eastAsia="Arial" w:hAnsi="Arial"/>
                <w:sz w:val="18"/>
                <w:szCs w:val="18"/>
                <w:color w:val="auto"/>
              </w:rPr>
              <w:t>common stock @</w:t>
            </w:r>
          </w:p>
        </w:tc>
        <w:tc>
          <w:tcPr>
            <w:tcW w:w="1640" w:type="dxa"/>
            <w:vAlign w:val="bottom"/>
          </w:tcPr>
          <w:p>
            <w:pPr>
              <w:ind w:left="360"/>
              <w:spacing w:after="0"/>
              <w:rPr>
                <w:sz w:val="20"/>
                <w:szCs w:val="20"/>
                <w:color w:val="auto"/>
              </w:rPr>
            </w:pPr>
            <w:r>
              <w:rPr>
                <w:rFonts w:ascii="Arial" w:cs="Arial" w:eastAsia="Arial" w:hAnsi="Arial"/>
                <w:sz w:val="18"/>
                <w:szCs w:val="18"/>
                <w:color w:val="auto"/>
              </w:rPr>
              <w:t>Industrial</w:t>
            </w:r>
          </w:p>
        </w:tc>
        <w:tc>
          <w:tcPr>
            <w:tcW w:w="1920" w:type="dxa"/>
            <w:vAlign w:val="bottom"/>
            <w:vMerge w:val="restart"/>
          </w:tcPr>
          <w:p>
            <w:pPr>
              <w:ind w:left="100"/>
              <w:spacing w:after="0"/>
              <w:rPr>
                <w:sz w:val="20"/>
                <w:szCs w:val="20"/>
                <w:color w:val="auto"/>
              </w:rPr>
            </w:pPr>
            <w:r>
              <w:rPr>
                <w:rFonts w:ascii="Arial" w:cs="Arial" w:eastAsia="Arial" w:hAnsi="Arial"/>
                <w:sz w:val="18"/>
                <w:szCs w:val="18"/>
                <w:color w:val="auto"/>
                <w:w w:val="90"/>
              </w:rPr>
              <w:t>1,000 shares of common</w:t>
            </w:r>
          </w:p>
        </w:tc>
        <w:tc>
          <w:tcPr>
            <w:tcW w:w="1380" w:type="dxa"/>
            <w:vAlign w:val="bottom"/>
          </w:tcPr>
          <w:p>
            <w:pPr>
              <w:ind w:left="100"/>
              <w:spacing w:after="0"/>
              <w:rPr>
                <w:sz w:val="20"/>
                <w:szCs w:val="20"/>
                <w:color w:val="auto"/>
              </w:rPr>
            </w:pPr>
            <w:r>
              <w:rPr>
                <w:rFonts w:ascii="Arial" w:cs="Arial" w:eastAsia="Arial" w:hAnsi="Arial"/>
                <w:sz w:val="18"/>
                <w:szCs w:val="18"/>
                <w:color w:val="auto"/>
              </w:rPr>
              <w:t>Pike</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2460" w:type="dxa"/>
            <w:vAlign w:val="bottom"/>
            <w:vMerge w:val="restart"/>
          </w:tcPr>
          <w:p>
            <w:pPr>
              <w:ind w:left="60"/>
              <w:spacing w:after="0"/>
              <w:rPr>
                <w:sz w:val="20"/>
                <w:szCs w:val="20"/>
                <w:color w:val="auto"/>
              </w:rPr>
            </w:pPr>
            <w:r>
              <w:rPr>
                <w:rFonts w:ascii="Arial" w:cs="Arial" w:eastAsia="Arial" w:hAnsi="Arial"/>
                <w:sz w:val="18"/>
                <w:szCs w:val="18"/>
                <w:color w:val="auto"/>
              </w:rPr>
              <w:t>$0.01 par value</w:t>
            </w:r>
          </w:p>
        </w:tc>
        <w:tc>
          <w:tcPr>
            <w:tcW w:w="1640" w:type="dxa"/>
            <w:vAlign w:val="bottom"/>
            <w:vMerge w:val="restart"/>
          </w:tcPr>
          <w:p>
            <w:pPr>
              <w:ind w:left="360"/>
              <w:spacing w:after="0"/>
              <w:rPr>
                <w:sz w:val="20"/>
                <w:szCs w:val="20"/>
                <w:color w:val="auto"/>
              </w:rPr>
            </w:pPr>
            <w:r>
              <w:rPr>
                <w:rFonts w:ascii="Arial" w:cs="Arial" w:eastAsia="Arial" w:hAnsi="Arial"/>
                <w:sz w:val="18"/>
                <w:szCs w:val="18"/>
                <w:color w:val="auto"/>
                <w:w w:val="95"/>
              </w:rPr>
              <w:t>Contractors, Inc.</w:t>
            </w:r>
          </w:p>
        </w:tc>
        <w:tc>
          <w:tcPr>
            <w:tcW w:w="192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7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920" w:type="dxa"/>
            <w:vAlign w:val="bottom"/>
            <w:vMerge w:val="restart"/>
          </w:tcPr>
          <w:p>
            <w:pPr>
              <w:ind w:left="100"/>
              <w:spacing w:after="0"/>
              <w:rPr>
                <w:sz w:val="20"/>
                <w:szCs w:val="20"/>
                <w:color w:val="auto"/>
              </w:rPr>
            </w:pPr>
            <w:r>
              <w:rPr>
                <w:rFonts w:ascii="Arial" w:cs="Arial" w:eastAsia="Arial" w:hAnsi="Arial"/>
                <w:sz w:val="18"/>
                <w:szCs w:val="18"/>
                <w:color w:val="auto"/>
              </w:rPr>
              <w:t>stock</w:t>
            </w:r>
          </w:p>
        </w:tc>
        <w:tc>
          <w:tcPr>
            <w:tcW w:w="1380" w:type="dxa"/>
            <w:vAlign w:val="bottom"/>
            <w:vMerge w:val="restart"/>
          </w:tcPr>
          <w:p>
            <w:pPr>
              <w:ind w:left="100"/>
              <w:spacing w:after="0"/>
              <w:rPr>
                <w:sz w:val="20"/>
                <w:szCs w:val="20"/>
                <w:color w:val="auto"/>
              </w:rPr>
            </w:pPr>
            <w:r>
              <w:rPr>
                <w:rFonts w:ascii="Arial" w:cs="Arial" w:eastAsia="Arial" w:hAnsi="Arial"/>
                <w:sz w:val="18"/>
                <w:szCs w:val="18"/>
                <w:color w:val="auto"/>
              </w:rPr>
              <w:t>Eddystone, PA</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7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19022</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type w:val="continuous"/>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Matrix Service Industrial Contractors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100,000 shares of</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Nova Scotia,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459 Grandview</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ULC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common stock @</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100 shares of Common</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3"/>
              </w:rPr>
              <w:t>Ave. Saint John,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 par value</w:t>
            </w: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Contractors</w:t>
            </w:r>
          </w:p>
        </w:tc>
        <w:tc>
          <w:tcPr>
            <w:tcW w:w="1920" w:type="dxa"/>
            <w:vAlign w:val="bottom"/>
            <w:gridSpan w:val="2"/>
            <w:vMerge w:val="continue"/>
            <w:shd w:val="clear" w:color="auto" w:fill="CCEEFF"/>
          </w:tcPr>
          <w:p>
            <w:pPr>
              <w:spacing w:after="0"/>
              <w:rPr>
                <w:sz w:val="7"/>
                <w:szCs w:val="7"/>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NB E2J 4M8</w:t>
            </w: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Canada, Inc.</w:t>
            </w:r>
          </w:p>
        </w:tc>
        <w:tc>
          <w:tcPr>
            <w:tcW w:w="1920" w:type="dxa"/>
            <w:vAlign w:val="bottom"/>
            <w:gridSpan w:val="2"/>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Subsidiary Name</w:t>
      </w:r>
    </w:p>
    <w:p>
      <w:pPr>
        <w:spacing w:after="0" w:line="114" w:lineRule="exact"/>
        <w:rPr>
          <w:sz w:val="20"/>
          <w:szCs w:val="20"/>
          <w:color w:val="auto"/>
        </w:rPr>
      </w:pPr>
    </w:p>
    <w:p>
      <w:pPr>
        <w:ind w:left="220" w:right="140" w:hanging="215"/>
        <w:spacing w:after="0" w:line="332" w:lineRule="auto"/>
        <w:rPr>
          <w:sz w:val="20"/>
          <w:szCs w:val="20"/>
          <w:color w:val="auto"/>
        </w:rPr>
      </w:pPr>
      <w:r>
        <w:rPr>
          <w:rFonts w:ascii="Arial" w:cs="Arial" w:eastAsia="Arial" w:hAnsi="Arial"/>
          <w:sz w:val="16"/>
          <w:szCs w:val="16"/>
          <w:color w:val="auto"/>
        </w:rPr>
        <w:t>Matrix Service Specialized Transport,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Formation</w:t>
            </w:r>
          </w:p>
        </w:tc>
        <w:tc>
          <w:tcPr>
            <w:tcW w:w="120" w:type="dxa"/>
            <w:vAlign w:val="bottom"/>
          </w:tcPr>
          <w:p>
            <w:pPr>
              <w:spacing w:after="0"/>
              <w:rPr>
                <w:sz w:val="15"/>
                <w:szCs w:val="15"/>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Owned By</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0"/>
                <w:szCs w:val="20"/>
                <w:color w:val="auto"/>
              </w:rPr>
            </w:pPr>
            <w:r>
              <w:rPr>
                <w:rFonts w:ascii="Arial" w:cs="Arial" w:eastAsia="Arial" w:hAnsi="Arial"/>
                <w:sz w:val="18"/>
                <w:szCs w:val="18"/>
                <w:color w:val="auto"/>
              </w:rPr>
              <w:t>62,000 Shares</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Pennsylvania</w:t>
            </w:r>
          </w:p>
        </w:tc>
        <w:tc>
          <w:tcPr>
            <w:tcW w:w="1260" w:type="dxa"/>
            <w:vAlign w:val="bottom"/>
          </w:tcPr>
          <w:p>
            <w:pPr>
              <w:spacing w:after="0"/>
              <w:rPr>
                <w:sz w:val="20"/>
                <w:szCs w:val="20"/>
                <w:color w:val="auto"/>
              </w:rPr>
            </w:pPr>
            <w:r>
              <w:rPr>
                <w:rFonts w:ascii="Arial" w:cs="Arial" w:eastAsia="Arial" w:hAnsi="Arial"/>
                <w:sz w:val="18"/>
                <w:szCs w:val="18"/>
                <w:color w:val="auto"/>
              </w:rPr>
              <w:t>Matrix Service</w:t>
            </w:r>
          </w:p>
        </w:tc>
        <w:tc>
          <w:tcPr>
            <w:tcW w:w="0" w:type="dxa"/>
            <w:vAlign w:val="bottom"/>
          </w:tcPr>
          <w:p>
            <w:pPr>
              <w:spacing w:after="0"/>
              <w:rPr>
                <w:sz w:val="1"/>
                <w:szCs w:val="1"/>
                <w:color w:val="auto"/>
              </w:rPr>
            </w:pPr>
          </w:p>
        </w:tc>
      </w:t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w w:val="99"/>
              </w:rPr>
              <w:t>1,000 shares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81"/>
        </w:trPr>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auto"/>
                <w:w w:val="93"/>
              </w:rPr>
              <w:t>Contractors, Inc.</w:t>
            </w:r>
          </w:p>
        </w:tc>
        <w:tc>
          <w:tcPr>
            <w:tcW w:w="0" w:type="dxa"/>
            <w:vAlign w:val="bottom"/>
          </w:tcPr>
          <w:p>
            <w:pPr>
              <w:spacing w:after="0"/>
              <w:rPr>
                <w:sz w:val="1"/>
                <w:szCs w:val="1"/>
                <w:color w:val="auto"/>
              </w:rPr>
            </w:pPr>
          </w:p>
        </w:tc>
      </w:tr>
      <w:tr>
        <w:trPr>
          <w:trHeight w:val="141"/>
        </w:trPr>
        <w:tc>
          <w:tcPr>
            <w:tcW w:w="1260" w:type="dxa"/>
            <w:vAlign w:val="bottom"/>
            <w:vMerge w:val="restart"/>
          </w:tcPr>
          <w:p>
            <w:pPr>
              <w:spacing w:after="0"/>
              <w:rPr>
                <w:sz w:val="20"/>
                <w:szCs w:val="20"/>
                <w:color w:val="auto"/>
              </w:rPr>
            </w:pPr>
            <w:r>
              <w:rPr>
                <w:rFonts w:ascii="Arial" w:cs="Arial" w:eastAsia="Arial" w:hAnsi="Arial"/>
                <w:sz w:val="18"/>
                <w:szCs w:val="18"/>
                <w:color w:val="auto"/>
                <w:w w:val="91"/>
              </w:rPr>
              <w:t>Class A common</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 $1.00 par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-1473200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-735330</wp:posOffset>
            </wp:positionV>
            <wp:extent cx="7246620" cy="254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54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1,000 shares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Class B common</w:t>
      </w:r>
    </w:p>
    <w:p>
      <w:pPr>
        <w:spacing w:after="0" w:line="9" w:lineRule="exact"/>
        <w:rPr>
          <w:sz w:val="20"/>
          <w:szCs w:val="20"/>
          <w:color w:val="auto"/>
        </w:rPr>
      </w:pPr>
    </w:p>
    <w:p>
      <w:pPr>
        <w:ind w:right="3140" w:firstLine="3"/>
        <w:spacing w:after="0" w:line="261" w:lineRule="auto"/>
        <w:tabs>
          <w:tab w:leader="none" w:pos="2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par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30,000 shares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Class A Preferred</w:t>
      </w:r>
    </w:p>
    <w:p>
      <w:pPr>
        <w:spacing w:after="0" w:line="9" w:lineRule="exact"/>
        <w:rPr>
          <w:sz w:val="20"/>
          <w:szCs w:val="20"/>
          <w:color w:val="auto"/>
        </w:rPr>
      </w:pPr>
    </w:p>
    <w:p>
      <w:pPr>
        <w:ind w:right="3140" w:firstLine="3"/>
        <w:spacing w:after="0" w:line="261" w:lineRule="auto"/>
        <w:tabs>
          <w:tab w:leader="none" w:pos="2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par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30,000 shares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Class B Preferred</w:t>
      </w:r>
    </w:p>
    <w:p>
      <w:pPr>
        <w:spacing w:after="0" w:line="9" w:lineRule="exact"/>
        <w:rPr>
          <w:sz w:val="20"/>
          <w:szCs w:val="20"/>
          <w:color w:val="auto"/>
        </w:rPr>
      </w:pPr>
    </w:p>
    <w:p>
      <w:pPr>
        <w:ind w:right="3140" w:firstLine="3"/>
        <w:spacing w:after="0" w:line="261" w:lineRule="auto"/>
        <w:tabs>
          <w:tab w:leader="none" w:pos="2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par value</w:t>
      </w:r>
    </w:p>
    <w:p>
      <w:pPr>
        <w:spacing w:after="0" w:line="20" w:lineRule="exact"/>
        <w:rPr>
          <w:sz w:val="20"/>
          <w:szCs w:val="20"/>
          <w:color w:val="auto"/>
        </w:rPr>
      </w:pPr>
      <w:r>
        <w:rPr>
          <w:sz w:val="20"/>
          <w:szCs w:val="20"/>
          <w:color w:val="auto"/>
        </w:rPr>
        <w:br w:type="column"/>
      </w:r>
    </w:p>
    <w:p>
      <w:pPr>
        <w:jc w:val="center"/>
        <w:ind w:left="-79" w:right="240"/>
        <w:spacing w:after="0" w:line="302" w:lineRule="auto"/>
        <w:rPr>
          <w:sz w:val="20"/>
          <w:szCs w:val="20"/>
          <w:color w:val="auto"/>
        </w:rPr>
      </w:pPr>
      <w:r>
        <w:rPr>
          <w:rFonts w:ascii="Arial" w:cs="Arial" w:eastAsia="Arial" w:hAnsi="Arial"/>
          <w:sz w:val="11"/>
          <w:szCs w:val="11"/>
          <w:b w:val="1"/>
          <w:bCs w:val="1"/>
          <w:color w:val="auto"/>
        </w:rPr>
        <w:t>Percentage Ownership of Issued and Outstanding Common Stock and 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1576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100 shares of Class A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400 shares of Class B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17,500 shares of Class A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9"/>
        </w:trPr>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r>
      <w:tr>
        <w:trPr>
          <w:trHeight w:val="175"/>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(Y/N)</w:t>
            </w:r>
          </w:p>
        </w:tc>
      </w:tr>
      <w:tr>
        <w:trPr>
          <w:trHeight w:val="296"/>
        </w:trPr>
        <w:tc>
          <w:tcPr>
            <w:tcW w:w="1240" w:type="dxa"/>
            <w:vAlign w:val="bottom"/>
          </w:tcPr>
          <w:p>
            <w:pPr>
              <w:spacing w:after="0"/>
              <w:rPr>
                <w:sz w:val="20"/>
                <w:szCs w:val="20"/>
                <w:color w:val="auto"/>
              </w:rPr>
            </w:pPr>
            <w:r>
              <w:rPr>
                <w:rFonts w:ascii="Arial" w:cs="Arial" w:eastAsia="Arial" w:hAnsi="Arial"/>
                <w:sz w:val="18"/>
                <w:szCs w:val="18"/>
                <w:color w:val="auto"/>
              </w:rPr>
              <w:t>1500 Chester</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Y</w:t>
            </w: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Pike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Eddystone, PA</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ectPr>
          <w:pgSz w:w="11900" w:h="16838" w:orient="portrait"/>
          <w:cols w:equalWidth="0" w:num="4">
            <w:col w:w="2040" w:space="720"/>
            <w:col w:w="4020" w:space="120"/>
            <w:col w:w="1740" w:space="180"/>
            <w:col w:w="2600"/>
          </w:cols>
          <w:pgMar w:left="240" w:top="275"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Canada ULC (f/k/a</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Alberta, Canada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5"/>
              </w:rPr>
              <w:t>7067 39</w:t>
            </w:r>
            <w:r>
              <w:rPr>
                <w:rFonts w:ascii="Arial" w:cs="Arial" w:eastAsia="Arial" w:hAnsi="Arial"/>
                <w:sz w:val="11"/>
                <w:szCs w:val="11"/>
                <w:color w:val="auto"/>
                <w:w w:val="95"/>
              </w:rPr>
              <w:t>th</w:t>
            </w:r>
            <w:r>
              <w:rPr>
                <w:rFonts w:ascii="Arial" w:cs="Arial" w:eastAsia="Arial" w:hAnsi="Arial"/>
                <w:sz w:val="18"/>
                <w:szCs w:val="18"/>
                <w:color w:val="auto"/>
                <w:w w:val="95"/>
              </w:rPr>
              <w:t xml:space="preserve"> Street</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Matrix Service ULC)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common and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(OK)</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100 shares of Common</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Leduc, AB</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T9E 0B3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S.M. Electric Company, Inc.</w:t>
            </w:r>
          </w:p>
        </w:tc>
        <w:tc>
          <w:tcPr>
            <w:tcW w:w="1260" w:type="dxa"/>
            <w:vAlign w:val="bottom"/>
          </w:tcPr>
          <w:p>
            <w:pPr>
              <w:spacing w:after="0"/>
              <w:rPr>
                <w:sz w:val="20"/>
                <w:szCs w:val="20"/>
                <w:color w:val="auto"/>
              </w:rPr>
            </w:pPr>
            <w:r>
              <w:rPr>
                <w:rFonts w:ascii="Arial" w:cs="Arial" w:eastAsia="Arial" w:hAnsi="Arial"/>
                <w:sz w:val="18"/>
                <w:szCs w:val="18"/>
                <w:color w:val="auto"/>
                <w:w w:val="99"/>
              </w:rPr>
              <w:t>1,000 shares of</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New Jersey</w:t>
            </w:r>
          </w:p>
        </w:tc>
        <w:tc>
          <w:tcPr>
            <w:tcW w:w="1380" w:type="dxa"/>
            <w:vAlign w:val="bottom"/>
            <w:gridSpan w:val="2"/>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tcPr>
          <w:p>
            <w:pPr>
              <w:spacing w:after="0"/>
              <w:rPr>
                <w:sz w:val="20"/>
                <w:szCs w:val="20"/>
                <w:color w:val="auto"/>
              </w:rPr>
            </w:pPr>
            <w:r>
              <w:rPr>
                <w:rFonts w:ascii="Arial" w:cs="Arial" w:eastAsia="Arial" w:hAnsi="Arial"/>
                <w:sz w:val="18"/>
                <w:szCs w:val="18"/>
                <w:color w:val="auto"/>
              </w:rPr>
              <w:t>100% - 96 shares of</w:t>
            </w:r>
          </w:p>
        </w:tc>
        <w:tc>
          <w:tcPr>
            <w:tcW w:w="1240" w:type="dxa"/>
            <w:vAlign w:val="bottom"/>
          </w:tcPr>
          <w:p>
            <w:pPr>
              <w:spacing w:after="0"/>
              <w:rPr>
                <w:sz w:val="20"/>
                <w:szCs w:val="20"/>
                <w:color w:val="auto"/>
              </w:rPr>
            </w:pPr>
            <w:r>
              <w:rPr>
                <w:rFonts w:ascii="Arial" w:cs="Arial" w:eastAsia="Arial" w:hAnsi="Arial"/>
                <w:sz w:val="18"/>
                <w:szCs w:val="18"/>
                <w:color w:val="auto"/>
              </w:rPr>
              <w:t>601 New</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240" w:type="dxa"/>
            <w:vAlign w:val="bottom"/>
          </w:tcPr>
          <w:p>
            <w:pPr>
              <w:spacing w:after="0"/>
              <w:rPr>
                <w:sz w:val="20"/>
                <w:szCs w:val="20"/>
                <w:color w:val="auto"/>
              </w:rPr>
            </w:pPr>
            <w:r>
              <w:rPr>
                <w:rFonts w:ascii="Arial" w:cs="Arial" w:eastAsia="Arial" w:hAnsi="Arial"/>
                <w:sz w:val="18"/>
                <w:szCs w:val="18"/>
                <w:color w:val="auto"/>
              </w:rPr>
              <w:t>Brunswick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1"/>
              </w:rPr>
              <w:t>without par value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Contractors, Inc.</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Avenue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Rahway, New</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Jersey 07065-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International, LLC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of the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liability company interest</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International Holding, LLC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of the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liability company interest</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Matrix Service Costa Rica, SRL, a</w:t>
            </w:r>
          </w:p>
        </w:tc>
        <w:tc>
          <w:tcPr>
            <w:tcW w:w="1260" w:type="dxa"/>
            <w:vAlign w:val="bottom"/>
          </w:tcPr>
          <w:p>
            <w:pPr>
              <w:spacing w:after="0"/>
              <w:rPr>
                <w:sz w:val="20"/>
                <w:szCs w:val="20"/>
                <w:color w:val="auto"/>
              </w:rPr>
            </w:pPr>
            <w:r>
              <w:rPr>
                <w:rFonts w:ascii="Arial" w:cs="Arial" w:eastAsia="Arial" w:hAnsi="Arial"/>
                <w:sz w:val="18"/>
                <w:szCs w:val="18"/>
                <w:color w:val="auto"/>
              </w:rPr>
              <w:t>10,000,000</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Costa Rica</w:t>
            </w:r>
          </w:p>
        </w:tc>
        <w:tc>
          <w:tcPr>
            <w:tcW w:w="1380" w:type="dxa"/>
            <w:vAlign w:val="bottom"/>
            <w:gridSpan w:val="2"/>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tcPr>
          <w:p>
            <w:pPr>
              <w:spacing w:after="0"/>
              <w:rPr>
                <w:sz w:val="20"/>
                <w:szCs w:val="20"/>
                <w:color w:val="auto"/>
              </w:rPr>
            </w:pPr>
            <w:r>
              <w:rPr>
                <w:rFonts w:ascii="Arial" w:cs="Arial" w:eastAsia="Arial" w:hAnsi="Arial"/>
                <w:sz w:val="18"/>
                <w:szCs w:val="18"/>
                <w:color w:val="auto"/>
              </w:rPr>
              <w:t>100% - 10,000 colones</w:t>
            </w:r>
          </w:p>
        </w:tc>
        <w:tc>
          <w:tcPr>
            <w:tcW w:w="1240" w:type="dxa"/>
            <w:vAlign w:val="bottom"/>
          </w:tcPr>
          <w:p>
            <w:pPr>
              <w:spacing w:after="0"/>
              <w:rPr>
                <w:sz w:val="20"/>
                <w:szCs w:val="20"/>
                <w:color w:val="auto"/>
              </w:rPr>
            </w:pPr>
            <w:r>
              <w:rPr>
                <w:rFonts w:ascii="Arial" w:cs="Arial" w:eastAsia="Arial" w:hAnsi="Arial"/>
                <w:sz w:val="18"/>
                <w:szCs w:val="18"/>
                <w:color w:val="auto"/>
              </w:rPr>
              <w:t>Costa Rica</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Costa Rican Sociedad de</w:t>
            </w:r>
          </w:p>
        </w:tc>
        <w:tc>
          <w:tcPr>
            <w:tcW w:w="1260" w:type="dxa"/>
            <w:vAlign w:val="bottom"/>
          </w:tcPr>
          <w:p>
            <w:pPr>
              <w:spacing w:after="0"/>
              <w:rPr>
                <w:sz w:val="20"/>
                <w:szCs w:val="20"/>
                <w:color w:val="auto"/>
              </w:rPr>
            </w:pPr>
            <w:r>
              <w:rPr>
                <w:rFonts w:ascii="Arial" w:cs="Arial" w:eastAsia="Arial" w:hAnsi="Arial"/>
                <w:sz w:val="18"/>
                <w:szCs w:val="18"/>
                <w:color w:val="auto"/>
              </w:rPr>
              <w:t>colones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Responsabilidad Limitada</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LLC</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International Construction,</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Oklahoma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of the limited</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liability company interest</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MSE Engineering Services,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5,000,000 shares</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- 1,000 shares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PDM Engineering Services, Inc.</w:t>
            </w:r>
          </w:p>
        </w:tc>
        <w:tc>
          <w:tcPr>
            <w:tcW w:w="1260" w:type="dxa"/>
            <w:vAlign w:val="bottom"/>
          </w:tcPr>
          <w:p>
            <w:pPr>
              <w:spacing w:after="0"/>
              <w:rPr>
                <w:sz w:val="20"/>
                <w:szCs w:val="20"/>
                <w:color w:val="auto"/>
              </w:rPr>
            </w:pPr>
            <w:r>
              <w:rPr>
                <w:rFonts w:ascii="Arial" w:cs="Arial" w:eastAsia="Arial" w:hAnsi="Arial"/>
                <w:sz w:val="18"/>
                <w:szCs w:val="18"/>
                <w:color w:val="auto"/>
                <w:w w:val="89"/>
              </w:rPr>
              <w:t>5,000,000 shares</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tcPr>
          <w:p>
            <w:pPr>
              <w:spacing w:after="0"/>
              <w:rPr>
                <w:sz w:val="20"/>
                <w:szCs w:val="20"/>
                <w:color w:val="auto"/>
              </w:rPr>
            </w:pPr>
            <w:r>
              <w:rPr>
                <w:rFonts w:ascii="Arial" w:cs="Arial" w:eastAsia="Arial" w:hAnsi="Arial"/>
                <w:sz w:val="18"/>
                <w:szCs w:val="18"/>
                <w:color w:val="auto"/>
              </w:rPr>
              <w:t>MSE</w:t>
            </w:r>
          </w:p>
        </w:tc>
        <w:tc>
          <w:tcPr>
            <w:tcW w:w="1920" w:type="dxa"/>
            <w:vAlign w:val="bottom"/>
            <w:gridSpan w:val="2"/>
          </w:tcPr>
          <w:p>
            <w:pPr>
              <w:spacing w:after="0"/>
              <w:rPr>
                <w:sz w:val="20"/>
                <w:szCs w:val="20"/>
                <w:color w:val="auto"/>
              </w:rPr>
            </w:pPr>
            <w:r>
              <w:rPr>
                <w:rFonts w:ascii="Arial" w:cs="Arial" w:eastAsia="Arial" w:hAnsi="Arial"/>
                <w:sz w:val="18"/>
                <w:szCs w:val="18"/>
                <w:color w:val="auto"/>
              </w:rPr>
              <w:t>100% - 1,000 shares</w:t>
            </w:r>
          </w:p>
        </w:tc>
        <w:tc>
          <w:tcPr>
            <w:tcW w:w="1240" w:type="dxa"/>
            <w:vAlign w:val="bottom"/>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Drive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Services, Inc.</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Arial" w:cs="Arial" w:eastAsia="Arial" w:hAnsi="Arial"/>
                <w:sz w:val="18"/>
                <w:szCs w:val="18"/>
                <w:color w:val="auto"/>
              </w:rPr>
              <w:t>Suite 700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EDC Engineering Services,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5,000,000 shares</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- 1,000 shares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Inc.</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International Engineering,</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LLP</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w:t>
            </w:r>
          </w:p>
        </w:tc>
        <w:tc>
          <w:tcPr>
            <w:tcW w:w="1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MSE</w:t>
            </w:r>
          </w:p>
        </w:tc>
        <w:tc>
          <w:tcPr>
            <w:tcW w:w="1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Engineering</w:t>
            </w:r>
          </w:p>
        </w:tc>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Inc.</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Matrix International Bahamas Ltd.</w:t>
            </w:r>
          </w:p>
        </w:tc>
        <w:tc>
          <w:tcPr>
            <w:tcW w:w="126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Bahamas</w:t>
            </w:r>
          </w:p>
        </w:tc>
        <w:tc>
          <w:tcPr>
            <w:tcW w:w="1380" w:type="dxa"/>
            <w:vAlign w:val="bottom"/>
            <w:gridSpan w:val="2"/>
          </w:tcPr>
          <w:p>
            <w:pPr>
              <w:spacing w:after="0"/>
              <w:rPr>
                <w:sz w:val="20"/>
                <w:szCs w:val="20"/>
                <w:color w:val="auto"/>
              </w:rPr>
            </w:pPr>
            <w:r>
              <w:rPr>
                <w:rFonts w:ascii="Arial" w:cs="Arial" w:eastAsia="Arial" w:hAnsi="Arial"/>
                <w:sz w:val="18"/>
                <w:szCs w:val="18"/>
                <w:color w:val="auto"/>
              </w:rPr>
              <w:t>Matrix Service</w:t>
            </w:r>
          </w:p>
        </w:tc>
        <w:tc>
          <w:tcPr>
            <w:tcW w:w="1820" w:type="dxa"/>
            <w:vAlign w:val="bottom"/>
          </w:tcPr>
          <w:p>
            <w:pPr>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Drive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LLC</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Arial" w:cs="Arial" w:eastAsia="Arial" w:hAnsi="Arial"/>
                <w:sz w:val="18"/>
                <w:szCs w:val="18"/>
                <w:color w:val="auto"/>
              </w:rPr>
              <w:t>Suite 700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Percentage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Ownership of Issued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Outstanding</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Place of</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 Equity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0" w:type="dxa"/>
            <w:vAlign w:val="bottom"/>
          </w:tcPr>
          <w:p>
            <w:pPr>
              <w:spacing w:after="0"/>
              <w:rPr>
                <w:sz w:val="1"/>
                <w:szCs w:val="1"/>
                <w:color w:val="auto"/>
              </w:rPr>
            </w:pPr>
          </w:p>
        </w:tc>
      </w:tr>
      <w:tr>
        <w:trPr>
          <w:trHeight w:val="168"/>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or Formation</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 By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(Y/N)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MSE International Puerto Rico, LLP</w:t>
            </w:r>
          </w:p>
        </w:tc>
        <w:tc>
          <w:tcPr>
            <w:tcW w:w="1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Puerto Rico</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99% - Class A</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5100 E. Skelly</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Partnership Participation</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Drive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Suite 700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LLP</w:t>
            </w:r>
          </w:p>
        </w:tc>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Tulsa, OK 74135</w:t>
            </w: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Kenneth</w:t>
            </w: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0.5% - Class B</w:t>
            </w: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Erdmann</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Partnership Participation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Hoptay</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0.5% Class B Partnership</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Units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63" w:right="239" w:bottom="1440" w:gutter="0" w:footer="0" w:header="0"/>
        </w:sectPr>
      </w:pPr>
    </w:p>
    <w:p>
      <w:pPr>
        <w:spacing w:after="0"/>
        <w:tabs>
          <w:tab w:leader="none" w:pos="4120" w:val="left"/>
          <w:tab w:leader="none" w:pos="5500" w:val="left"/>
        </w:tabs>
        <w:rPr>
          <w:sz w:val="20"/>
          <w:szCs w:val="20"/>
          <w:color w:val="auto"/>
        </w:rPr>
      </w:pPr>
      <w:r>
        <w:rPr>
          <w:rFonts w:ascii="Arial" w:cs="Arial" w:eastAsia="Arial" w:hAnsi="Arial"/>
          <w:sz w:val="18"/>
          <w:szCs w:val="18"/>
          <w:color w:val="auto"/>
        </w:rPr>
        <w:t>Matrix Construction, SRL</w:t>
      </w:r>
      <w:r>
        <w:rPr>
          <w:sz w:val="20"/>
          <w:szCs w:val="20"/>
          <w:color w:val="auto"/>
        </w:rPr>
        <w:tab/>
      </w:r>
      <w:r>
        <w:rPr>
          <w:rFonts w:ascii="Arial" w:cs="Arial" w:eastAsia="Arial" w:hAnsi="Arial"/>
          <w:sz w:val="18"/>
          <w:szCs w:val="18"/>
          <w:color w:val="auto"/>
        </w:rPr>
        <w:t>Panama</w:t>
      </w:r>
      <w:r>
        <w:rPr>
          <w:sz w:val="20"/>
          <w:szCs w:val="20"/>
          <w:color w:val="auto"/>
        </w:rPr>
        <w:tab/>
      </w:r>
      <w:r>
        <w:rPr>
          <w:rFonts w:ascii="Arial" w:cs="Arial" w:eastAsia="Arial" w:hAnsi="Arial"/>
          <w:sz w:val="16"/>
          <w:szCs w:val="16"/>
          <w:color w:val="auto"/>
        </w:rPr>
        <w:t>Matrix</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Holding, LLC</w:t>
      </w:r>
    </w:p>
    <w:p>
      <w:pPr>
        <w:spacing w:after="0" w:line="10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Matrix Service</w:t>
      </w:r>
    </w:p>
    <w:p>
      <w:pPr>
        <w:spacing w:after="0" w:line="3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International,</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Arial" w:cs="Arial" w:eastAsia="Arial" w:hAnsi="Arial"/>
          <w:sz w:val="18"/>
          <w:szCs w:val="18"/>
          <w:color w:val="auto"/>
        </w:rPr>
        <w:t>5100 E. Skelly</w:t>
      </w:r>
      <w:r>
        <w:rPr>
          <w:sz w:val="20"/>
          <w:szCs w:val="20"/>
          <w:color w:val="auto"/>
        </w:rPr>
        <w:tab/>
      </w:r>
      <w:r>
        <w:rPr>
          <w:rFonts w:ascii="Arial" w:cs="Arial" w:eastAsia="Arial" w:hAnsi="Arial"/>
          <w:sz w:val="16"/>
          <w:szCs w:val="16"/>
          <w:color w:val="auto"/>
        </w:rPr>
        <w:t>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Drive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Suite 700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Tulsa, OK 74135</w:t>
      </w:r>
    </w:p>
    <w:p>
      <w:pPr>
        <w:spacing w:after="0" w:line="373" w:lineRule="exact"/>
        <w:rPr>
          <w:sz w:val="20"/>
          <w:szCs w:val="20"/>
          <w:color w:val="auto"/>
        </w:rPr>
      </w:pPr>
    </w:p>
    <w:p>
      <w:pPr>
        <w:sectPr>
          <w:pgSz w:w="11900" w:h="16838" w:orient="portrait"/>
          <w:cols w:equalWidth="0" w:num="3">
            <w:col w:w="6560" w:space="340"/>
            <w:col w:w="1200" w:space="720"/>
            <w:col w:w="2600"/>
          </w:cols>
          <w:pgMar w:left="240" w:top="263" w:right="239" w:bottom="1440" w:gutter="0" w:footer="0" w:header="0"/>
          <w:type w:val="continuous"/>
        </w:sectPr>
      </w:pPr>
    </w:p>
    <w:p>
      <w:pPr>
        <w:ind w:left="460" w:hanging="452"/>
        <w:spacing w:after="0"/>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 currently considered to be a Subsidiary for purposes of the Credit Agreement - see the revised definition of “Subsidiary”.</w:t>
      </w:r>
    </w:p>
    <w:p>
      <w:pPr>
        <w:sectPr>
          <w:pgSz w:w="11900" w:h="16838" w:orient="portrait"/>
          <w:cols w:equalWidth="0" w:num="1">
            <w:col w:w="11420"/>
          </w:cols>
          <w:pgMar w:left="240" w:top="263" w:right="239" w:bottom="1440" w:gutter="0" w:footer="0" w:header="0"/>
          <w:type w:val="continuous"/>
        </w:sectPr>
      </w:pPr>
    </w:p>
    <w:bookmarkStart w:id="176" w:name="page177"/>
    <w:bookmarkEnd w:id="176"/>
    <w:p>
      <w:pPr>
        <w:ind w:left="5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3.18</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Listing and Description of Payment and Performance Bonds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Utilized By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20" w:type="dxa"/>
            <w:vAlign w:val="bottom"/>
          </w:tcPr>
          <w:p>
            <w:pPr>
              <w:ind w:left="360"/>
              <w:spacing w:after="0"/>
              <w:rPr>
                <w:sz w:val="20"/>
                <w:szCs w:val="20"/>
                <w:color w:val="auto"/>
              </w:rPr>
            </w:pPr>
            <w:r>
              <w:rPr>
                <w:rFonts w:ascii="Arial" w:cs="Arial" w:eastAsia="Arial" w:hAnsi="Arial"/>
                <w:sz w:val="14"/>
                <w:szCs w:val="14"/>
                <w:color w:val="auto"/>
              </w:rPr>
              <w:t>Aon</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2"/>
              </w:rPr>
              <w:t>BOND</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BOND NO.</w:t>
            </w:r>
          </w:p>
        </w:tc>
        <w:tc>
          <w:tcPr>
            <w:tcW w:w="2100" w:type="dxa"/>
            <w:vAlign w:val="bottom"/>
          </w:tcPr>
          <w:p>
            <w:pPr>
              <w:ind w:left="720"/>
              <w:spacing w:after="0"/>
              <w:rPr>
                <w:sz w:val="20"/>
                <w:szCs w:val="20"/>
                <w:color w:val="auto"/>
              </w:rPr>
            </w:pPr>
            <w:r>
              <w:rPr>
                <w:rFonts w:ascii="Arial" w:cs="Arial" w:eastAsia="Arial" w:hAnsi="Arial"/>
                <w:sz w:val="14"/>
                <w:szCs w:val="14"/>
                <w:b w:val="1"/>
                <w:bCs w:val="1"/>
                <w:color w:val="auto"/>
              </w:rPr>
              <w:t>PRINCIPAL</w:t>
            </w:r>
          </w:p>
        </w:tc>
        <w:tc>
          <w:tcPr>
            <w:tcW w:w="1920" w:type="dxa"/>
            <w:vAlign w:val="bottom"/>
          </w:tcPr>
          <w:p>
            <w:pPr>
              <w:ind w:left="680"/>
              <w:spacing w:after="0"/>
              <w:rPr>
                <w:sz w:val="20"/>
                <w:szCs w:val="20"/>
                <w:color w:val="auto"/>
              </w:rPr>
            </w:pPr>
            <w:r>
              <w:rPr>
                <w:rFonts w:ascii="Arial" w:cs="Arial" w:eastAsia="Arial" w:hAnsi="Arial"/>
                <w:sz w:val="14"/>
                <w:szCs w:val="14"/>
                <w:b w:val="1"/>
                <w:bCs w:val="1"/>
                <w:color w:val="auto"/>
              </w:rPr>
              <w:t>OBLIGEE</w:t>
            </w:r>
          </w:p>
        </w:tc>
        <w:tc>
          <w:tcPr>
            <w:tcW w:w="2420" w:type="dxa"/>
            <w:vAlign w:val="bottom"/>
          </w:tcPr>
          <w:p>
            <w:pPr>
              <w:ind w:left="76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ind w:right="133"/>
              <w:spacing w:after="0"/>
              <w:rPr>
                <w:sz w:val="20"/>
                <w:szCs w:val="20"/>
                <w:color w:val="auto"/>
              </w:rPr>
            </w:pPr>
            <w:r>
              <w:rPr>
                <w:rFonts w:ascii="Arial" w:cs="Arial" w:eastAsia="Arial" w:hAnsi="Arial"/>
                <w:sz w:val="14"/>
                <w:szCs w:val="14"/>
                <w:b w:val="1"/>
                <w:bCs w:val="1"/>
                <w:color w:val="auto"/>
              </w:rPr>
              <w:t>EFFECTIVE</w:t>
            </w:r>
          </w:p>
        </w:tc>
        <w:tc>
          <w:tcPr>
            <w:tcW w:w="1200" w:type="dxa"/>
            <w:vAlign w:val="bottom"/>
          </w:tcPr>
          <w:p>
            <w:pPr>
              <w:jc w:val="right"/>
              <w:ind w:right="7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08983171</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 NEW</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Electrical Cont Stepen J.</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03/31/11</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03/31/12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JERSEY</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Barnacz</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6456690</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w:t>
            </w:r>
          </w:p>
        </w:tc>
        <w:tc>
          <w:tcPr>
            <w:tcW w:w="1920" w:type="dxa"/>
            <w:vAlign w:val="bottom"/>
          </w:tcPr>
          <w:p>
            <w:pPr>
              <w:ind w:left="120"/>
              <w:spacing w:after="0"/>
              <w:rPr>
                <w:sz w:val="20"/>
                <w:szCs w:val="20"/>
                <w:color w:val="auto"/>
              </w:rPr>
            </w:pPr>
            <w:r>
              <w:rPr>
                <w:rFonts w:ascii="Arial" w:cs="Arial" w:eastAsia="Arial" w:hAnsi="Arial"/>
                <w:sz w:val="18"/>
                <w:szCs w:val="18"/>
                <w:color w:val="auto"/>
              </w:rPr>
              <w:t>STATE OF NEW</w:t>
            </w:r>
          </w:p>
        </w:tc>
        <w:tc>
          <w:tcPr>
            <w:tcW w:w="2420" w:type="dxa"/>
            <w:vAlign w:val="bottom"/>
          </w:tcPr>
          <w:p>
            <w:pPr>
              <w:ind w:left="140"/>
              <w:spacing w:after="0"/>
              <w:rPr>
                <w:sz w:val="20"/>
                <w:szCs w:val="20"/>
                <w:color w:val="auto"/>
              </w:rPr>
            </w:pPr>
            <w:r>
              <w:rPr>
                <w:rFonts w:ascii="Arial" w:cs="Arial" w:eastAsia="Arial" w:hAnsi="Arial"/>
                <w:sz w:val="18"/>
                <w:szCs w:val="18"/>
                <w:color w:val="auto"/>
              </w:rPr>
              <w:t>Electrical Cont Charles R.</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08/19/09</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03/31/12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INDUSTRIAL</w:t>
            </w:r>
          </w:p>
        </w:tc>
        <w:tc>
          <w:tcPr>
            <w:tcW w:w="1920" w:type="dxa"/>
            <w:vAlign w:val="bottom"/>
          </w:tcPr>
          <w:p>
            <w:pPr>
              <w:ind w:left="120"/>
              <w:spacing w:after="0"/>
              <w:rPr>
                <w:sz w:val="20"/>
                <w:szCs w:val="20"/>
                <w:color w:val="auto"/>
              </w:rPr>
            </w:pPr>
            <w:r>
              <w:rPr>
                <w:rFonts w:ascii="Arial" w:cs="Arial" w:eastAsia="Arial" w:hAnsi="Arial"/>
                <w:sz w:val="18"/>
                <w:szCs w:val="18"/>
                <w:color w:val="auto"/>
              </w:rPr>
              <w:t>JERSEY</w:t>
            </w:r>
          </w:p>
        </w:tc>
        <w:tc>
          <w:tcPr>
            <w:tcW w:w="2420" w:type="dxa"/>
            <w:vAlign w:val="bottom"/>
          </w:tcPr>
          <w:p>
            <w:pPr>
              <w:ind w:left="140"/>
              <w:spacing w:after="0"/>
              <w:rPr>
                <w:sz w:val="20"/>
                <w:szCs w:val="20"/>
                <w:color w:val="auto"/>
              </w:rPr>
            </w:pPr>
            <w:r>
              <w:rPr>
                <w:rFonts w:ascii="Arial" w:cs="Arial" w:eastAsia="Arial" w:hAnsi="Arial"/>
                <w:sz w:val="18"/>
                <w:szCs w:val="18"/>
                <w:color w:val="auto"/>
              </w:rPr>
              <w:t>Carter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929409576</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KAREN SPRADLIN</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Notary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11/03/07</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11/03/11</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OKLAHOMA</w:t>
            </w:r>
          </w:p>
        </w:tc>
        <w:tc>
          <w:tcPr>
            <w:tcW w:w="2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15168084N</w:t>
            </w:r>
          </w:p>
        </w:tc>
        <w:tc>
          <w:tcPr>
            <w:tcW w:w="2100" w:type="dxa"/>
            <w:vAlign w:val="bottom"/>
          </w:tcPr>
          <w:p>
            <w:pPr>
              <w:ind w:left="140"/>
              <w:spacing w:after="0"/>
              <w:rPr>
                <w:sz w:val="20"/>
                <w:szCs w:val="20"/>
                <w:color w:val="auto"/>
              </w:rPr>
            </w:pPr>
            <w:r>
              <w:rPr>
                <w:rFonts w:ascii="Arial" w:cs="Arial" w:eastAsia="Arial" w:hAnsi="Arial"/>
                <w:sz w:val="18"/>
                <w:szCs w:val="18"/>
                <w:color w:val="auto"/>
              </w:rPr>
              <w:t>RENE THOMPSON</w:t>
            </w: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ind w:left="140"/>
              <w:spacing w:after="0"/>
              <w:rPr>
                <w:sz w:val="20"/>
                <w:szCs w:val="20"/>
                <w:color w:val="auto"/>
              </w:rPr>
            </w:pPr>
            <w:r>
              <w:rPr>
                <w:rFonts w:ascii="Arial" w:cs="Arial" w:eastAsia="Arial" w:hAnsi="Arial"/>
                <w:sz w:val="18"/>
                <w:szCs w:val="18"/>
                <w:color w:val="auto"/>
              </w:rPr>
              <w:t>Notary Bond</w:t>
            </w: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NP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06/13/08</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06/13/12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OKLAHOMA</w:t>
            </w:r>
          </w:p>
        </w:tc>
        <w:tc>
          <w:tcPr>
            <w:tcW w:w="2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15215269N</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Heather L. Dewees</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OK</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Notary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10/29/2008</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10/29/2012</w:t>
            </w: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08364737</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06/29/10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tcPr>
          <w:p>
            <w:pPr>
              <w:ind w:left="140"/>
              <w:spacing w:after="0"/>
              <w:rPr>
                <w:sz w:val="20"/>
                <w:szCs w:val="20"/>
                <w:color w:val="auto"/>
              </w:rPr>
            </w:pPr>
            <w:r>
              <w:rPr>
                <w:rFonts w:ascii="Arial" w:cs="Arial" w:eastAsia="Arial" w:hAnsi="Arial"/>
                <w:sz w:val="18"/>
                <w:szCs w:val="18"/>
                <w:color w:val="auto"/>
              </w:rPr>
              <w:t>Petroleum Storage Tank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tcPr>
          <w:p>
            <w:pPr>
              <w:ind w:left="140"/>
              <w:spacing w:after="0"/>
              <w:rPr>
                <w:sz w:val="20"/>
                <w:szCs w:val="20"/>
                <w:color w:val="auto"/>
              </w:rPr>
            </w:pPr>
            <w:r>
              <w:rPr>
                <w:rFonts w:ascii="Arial" w:cs="Arial" w:eastAsia="Arial" w:hAnsi="Arial"/>
                <w:sz w:val="18"/>
                <w:szCs w:val="18"/>
                <w:color w:val="auto"/>
              </w:rPr>
              <w:t>Erection/Repair, Job</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ind w:left="140"/>
              <w:spacing w:after="0"/>
              <w:rPr>
                <w:sz w:val="20"/>
                <w:szCs w:val="20"/>
                <w:color w:val="auto"/>
              </w:rPr>
            </w:pPr>
            <w:r>
              <w:rPr>
                <w:rFonts w:ascii="Arial" w:cs="Arial" w:eastAsia="Arial" w:hAnsi="Arial"/>
                <w:sz w:val="18"/>
                <w:szCs w:val="18"/>
                <w:color w:val="auto"/>
              </w:rPr>
              <w:t>#21212689; Location of</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 - 3333Midway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Shreveport, Caddo, LA</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08364730</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06/01/10</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Petroleum Storage Tank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Erection/Repair, Job</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#21113567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08364736</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06/13/10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tcPr>
          <w:p>
            <w:pPr>
              <w:ind w:left="140"/>
              <w:spacing w:after="0"/>
              <w:rPr>
                <w:sz w:val="20"/>
                <w:szCs w:val="20"/>
                <w:color w:val="auto"/>
              </w:rPr>
            </w:pPr>
            <w:r>
              <w:rPr>
                <w:rFonts w:ascii="Arial" w:cs="Arial" w:eastAsia="Arial" w:hAnsi="Arial"/>
                <w:sz w:val="18"/>
                <w:szCs w:val="18"/>
                <w:color w:val="auto"/>
              </w:rPr>
              <w:t>Petroleum Storage Tank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tcPr>
          <w:p>
            <w:pPr>
              <w:ind w:left="140"/>
              <w:spacing w:after="0"/>
              <w:rPr>
                <w:sz w:val="20"/>
                <w:szCs w:val="20"/>
                <w:color w:val="auto"/>
              </w:rPr>
            </w:pPr>
            <w:r>
              <w:rPr>
                <w:rFonts w:ascii="Arial" w:cs="Arial" w:eastAsia="Arial" w:hAnsi="Arial"/>
                <w:sz w:val="18"/>
                <w:szCs w:val="18"/>
                <w:color w:val="auto"/>
              </w:rPr>
              <w:t>Erection/Repair, Job</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ind w:left="140"/>
              <w:spacing w:after="0"/>
              <w:rPr>
                <w:sz w:val="20"/>
                <w:szCs w:val="20"/>
                <w:color w:val="auto"/>
              </w:rPr>
            </w:pPr>
            <w:r>
              <w:rPr>
                <w:rFonts w:ascii="Arial" w:cs="Arial" w:eastAsia="Arial" w:hAnsi="Arial"/>
                <w:sz w:val="18"/>
                <w:szCs w:val="18"/>
                <w:color w:val="auto"/>
              </w:rPr>
              <w:t>#21212686; Location of</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 - 3333Midway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Shreveport, Caddo, LA</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6442210</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 License Job</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10/23/09</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#21212388</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8364726</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Contractor License Job</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01/13/10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tcPr>
          <w:p>
            <w:pPr>
              <w:ind w:left="140"/>
              <w:spacing w:after="0"/>
              <w:rPr>
                <w:sz w:val="20"/>
                <w:szCs w:val="20"/>
                <w:color w:val="auto"/>
              </w:rPr>
            </w:pPr>
            <w:r>
              <w:rPr>
                <w:rFonts w:ascii="Arial" w:cs="Arial" w:eastAsia="Arial" w:hAnsi="Arial"/>
                <w:sz w:val="18"/>
                <w:szCs w:val="18"/>
                <w:color w:val="auto"/>
              </w:rPr>
              <w:t>#21218187</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08364725</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04/27/10</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w w:val="95"/>
              </w:rPr>
              <w:t>LPM8364740</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Contractors License Job</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11/09/09</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tcPr>
          <w:p>
            <w:pPr>
              <w:ind w:left="140"/>
              <w:spacing w:after="0"/>
              <w:rPr>
                <w:sz w:val="20"/>
                <w:szCs w:val="20"/>
                <w:color w:val="auto"/>
              </w:rPr>
            </w:pPr>
            <w:r>
              <w:rPr>
                <w:rFonts w:ascii="Arial" w:cs="Arial" w:eastAsia="Arial" w:hAnsi="Arial"/>
                <w:sz w:val="18"/>
                <w:szCs w:val="18"/>
                <w:color w:val="auto"/>
              </w:rPr>
              <w:t>21218199</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08364738</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08/03/10</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Petroleum Storage Tank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Erection/Repair, Job</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#21212698-2701; Location of</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- 11842 River Road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Street Rose, St. Charles, LA</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08364729</w:t>
            </w:r>
          </w:p>
        </w:tc>
        <w:tc>
          <w:tcPr>
            <w:tcW w:w="210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tcPr>
          <w:p>
            <w:pPr>
              <w:ind w:left="120"/>
              <w:spacing w:after="0"/>
              <w:rPr>
                <w:sz w:val="20"/>
                <w:szCs w:val="20"/>
                <w:color w:val="auto"/>
              </w:rPr>
            </w:pPr>
            <w:r>
              <w:rPr>
                <w:rFonts w:ascii="Arial" w:cs="Arial" w:eastAsia="Arial" w:hAnsi="Arial"/>
                <w:sz w:val="18"/>
                <w:szCs w:val="18"/>
                <w:color w:val="auto"/>
                <w:w w:val="98"/>
              </w:rPr>
              <w:t>SECRETARY OF THE</w:t>
            </w:r>
          </w:p>
        </w:tc>
        <w:tc>
          <w:tcPr>
            <w:tcW w:w="2420" w:type="dxa"/>
            <w:vAlign w:val="bottom"/>
          </w:tcPr>
          <w:p>
            <w:pPr>
              <w:ind w:left="140"/>
              <w:spacing w:after="0"/>
              <w:rPr>
                <w:sz w:val="20"/>
                <w:szCs w:val="20"/>
                <w:color w:val="auto"/>
              </w:rPr>
            </w:pPr>
            <w:r>
              <w:rPr>
                <w:rFonts w:ascii="Arial" w:cs="Arial" w:eastAsia="Arial" w:hAnsi="Arial"/>
                <w:sz w:val="18"/>
                <w:szCs w:val="18"/>
                <w:color w:val="auto"/>
              </w:rPr>
              <w:t>Contractors License Bond</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05/06/10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DEPARTMENT OF</w:t>
            </w: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REVENUE FOR THE</w:t>
            </w: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LOUISIANA</w:t>
            </w:r>
          </w:p>
        </w:tc>
        <w:tc>
          <w:tcPr>
            <w:tcW w:w="2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9009307</w:t>
            </w: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Electrical/Telecommunications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10/25/10</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WASHINGTON</w:t>
            </w: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Bond</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Aon</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2"/>
              </w:rPr>
              <w:t>BOND</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BOND NO.</w:t>
            </w:r>
          </w:p>
        </w:tc>
        <w:tc>
          <w:tcPr>
            <w:tcW w:w="2220" w:type="dxa"/>
            <w:vAlign w:val="bottom"/>
          </w:tcPr>
          <w:p>
            <w:pPr>
              <w:ind w:left="780"/>
              <w:spacing w:after="0"/>
              <w:rPr>
                <w:sz w:val="20"/>
                <w:szCs w:val="20"/>
                <w:color w:val="auto"/>
              </w:rPr>
            </w:pPr>
            <w:r>
              <w:rPr>
                <w:rFonts w:ascii="Arial" w:cs="Arial" w:eastAsia="Arial" w:hAnsi="Arial"/>
                <w:sz w:val="14"/>
                <w:szCs w:val="14"/>
                <w:b w:val="1"/>
                <w:bCs w:val="1"/>
                <w:color w:val="auto"/>
              </w:rPr>
              <w:t>PRINCIPAL</w:t>
            </w:r>
          </w:p>
        </w:tc>
        <w:tc>
          <w:tcPr>
            <w:tcW w:w="2080" w:type="dxa"/>
            <w:vAlign w:val="bottom"/>
          </w:tcPr>
          <w:p>
            <w:pPr>
              <w:ind w:left="760"/>
              <w:spacing w:after="0"/>
              <w:rPr>
                <w:sz w:val="20"/>
                <w:szCs w:val="20"/>
                <w:color w:val="auto"/>
              </w:rPr>
            </w:pPr>
            <w:r>
              <w:rPr>
                <w:rFonts w:ascii="Arial" w:cs="Arial" w:eastAsia="Arial" w:hAnsi="Arial"/>
                <w:sz w:val="14"/>
                <w:szCs w:val="14"/>
                <w:b w:val="1"/>
                <w:bCs w:val="1"/>
                <w:color w:val="auto"/>
              </w:rPr>
              <w:t>OBLIGEE</w:t>
            </w:r>
          </w:p>
        </w:tc>
        <w:tc>
          <w:tcPr>
            <w:tcW w:w="2120" w:type="dxa"/>
            <w:vAlign w:val="bottom"/>
          </w:tcPr>
          <w:p>
            <w:pPr>
              <w:ind w:left="62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rPr>
              <w:t>EFFECTIVE</w:t>
            </w: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LPM8756513</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 OF WHITING</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Contractors License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05/18/11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05/18/12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INDIANA</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09009205</w:t>
            </w:r>
          </w:p>
        </w:tc>
        <w:tc>
          <w:tcPr>
            <w:tcW w:w="2220" w:type="dxa"/>
            <w:vAlign w:val="bottom"/>
          </w:tcPr>
          <w:p>
            <w:pPr>
              <w:ind w:left="160"/>
              <w:spacing w:after="0"/>
              <w:rPr>
                <w:sz w:val="20"/>
                <w:szCs w:val="20"/>
                <w:color w:val="auto"/>
              </w:rPr>
            </w:pPr>
            <w:r>
              <w:rPr>
                <w:rFonts w:ascii="Arial" w:cs="Arial" w:eastAsia="Arial" w:hAnsi="Arial"/>
                <w:sz w:val="18"/>
                <w:szCs w:val="18"/>
                <w:color w:val="auto"/>
              </w:rPr>
              <w:t>S. M. ELECTRIC CO.,</w:t>
            </w:r>
          </w:p>
        </w:tc>
        <w:tc>
          <w:tcPr>
            <w:tcW w:w="2080" w:type="dxa"/>
            <w:vAlign w:val="bottom"/>
          </w:tcPr>
          <w:p>
            <w:pPr>
              <w:ind w:left="120"/>
              <w:spacing w:after="0"/>
              <w:rPr>
                <w:sz w:val="20"/>
                <w:szCs w:val="20"/>
                <w:color w:val="auto"/>
              </w:rPr>
            </w:pPr>
            <w:r>
              <w:rPr>
                <w:rFonts w:ascii="Arial" w:cs="Arial" w:eastAsia="Arial" w:hAnsi="Arial"/>
                <w:sz w:val="18"/>
                <w:szCs w:val="18"/>
                <w:color w:val="auto"/>
                <w:w w:val="92"/>
              </w:rPr>
              <w:t>STATE OF NEW JERSEY</w:t>
            </w:r>
          </w:p>
        </w:tc>
        <w:tc>
          <w:tcPr>
            <w:tcW w:w="2120" w:type="dxa"/>
            <w:vAlign w:val="bottom"/>
          </w:tcPr>
          <w:p>
            <w:pPr>
              <w:ind w:left="160"/>
              <w:spacing w:after="0"/>
              <w:rPr>
                <w:sz w:val="20"/>
                <w:szCs w:val="20"/>
                <w:color w:val="auto"/>
              </w:rPr>
            </w:pPr>
            <w:r>
              <w:rPr>
                <w:rFonts w:ascii="Arial" w:cs="Arial" w:eastAsia="Arial" w:hAnsi="Arial"/>
                <w:sz w:val="18"/>
                <w:szCs w:val="18"/>
                <w:color w:val="auto"/>
                <w:w w:val="99"/>
              </w:rPr>
              <w:t>NJ Motor Fuel Tax Bond</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GP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INC.</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5/2/2010</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138060694</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 NEW</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License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04/11/09</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Bond</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9026617</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120"/>
              <w:spacing w:after="0"/>
              <w:rPr>
                <w:sz w:val="20"/>
                <w:szCs w:val="20"/>
                <w:color w:val="auto"/>
              </w:rPr>
            </w:pPr>
            <w:r>
              <w:rPr>
                <w:rFonts w:ascii="Arial" w:cs="Arial" w:eastAsia="Arial" w:hAnsi="Arial"/>
                <w:sz w:val="18"/>
                <w:szCs w:val="18"/>
                <w:color w:val="auto"/>
              </w:rPr>
              <w:t>THE BOARD OF</w:t>
            </w:r>
          </w:p>
        </w:tc>
        <w:tc>
          <w:tcPr>
            <w:tcW w:w="2120" w:type="dxa"/>
            <w:vAlign w:val="bottom"/>
          </w:tcPr>
          <w:p>
            <w:pPr>
              <w:ind w:left="160"/>
              <w:spacing w:after="0"/>
              <w:rPr>
                <w:sz w:val="20"/>
                <w:szCs w:val="20"/>
                <w:color w:val="auto"/>
              </w:rPr>
            </w:pPr>
            <w:r>
              <w:rPr>
                <w:rFonts w:ascii="Arial" w:cs="Arial" w:eastAsia="Arial" w:hAnsi="Arial"/>
                <w:sz w:val="18"/>
                <w:szCs w:val="18"/>
                <w:color w:val="auto"/>
                <w:w w:val="93"/>
              </w:rPr>
              <w:t>Contractors License Bond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09/22/11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09/22/12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120"/>
              <w:spacing w:after="0"/>
              <w:rPr>
                <w:sz w:val="20"/>
                <w:szCs w:val="20"/>
                <w:color w:val="auto"/>
              </w:rPr>
            </w:pPr>
            <w:r>
              <w:rPr>
                <w:rFonts w:ascii="Arial" w:cs="Arial" w:eastAsia="Arial" w:hAnsi="Arial"/>
                <w:sz w:val="18"/>
                <w:szCs w:val="18"/>
                <w:color w:val="auto"/>
              </w:rPr>
              <w:t>COMMISSIONERS OF</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ind w:left="120"/>
              <w:spacing w:after="0"/>
              <w:rPr>
                <w:sz w:val="20"/>
                <w:szCs w:val="20"/>
                <w:color w:val="auto"/>
              </w:rPr>
            </w:pPr>
            <w:r>
              <w:rPr>
                <w:rFonts w:ascii="Arial" w:cs="Arial" w:eastAsia="Arial" w:hAnsi="Arial"/>
                <w:sz w:val="18"/>
                <w:szCs w:val="18"/>
                <w:color w:val="auto"/>
              </w:rPr>
              <w:t>THE COUNTY OF</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LAKE, STATE OF</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INDIANA, AND ANY</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CITIES OR TOWNS IN</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LAKE Lic. #C000895</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9026603</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Massachusetts Turnpike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Guarantee Payment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09/03/11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09/03/12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Authority - Fast</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Tolls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9026772</w:t>
            </w:r>
          </w:p>
        </w:tc>
        <w:tc>
          <w:tcPr>
            <w:tcW w:w="2220" w:type="dxa"/>
            <w:vAlign w:val="bottom"/>
          </w:tcPr>
          <w:p>
            <w:pPr>
              <w:ind w:left="160"/>
              <w:spacing w:after="0"/>
              <w:rPr>
                <w:sz w:val="20"/>
                <w:szCs w:val="20"/>
                <w:color w:val="auto"/>
              </w:rPr>
            </w:pPr>
            <w:r>
              <w:rPr>
                <w:rFonts w:ascii="Arial" w:cs="Arial" w:eastAsia="Arial" w:hAnsi="Arial"/>
                <w:sz w:val="18"/>
                <w:szCs w:val="18"/>
                <w:color w:val="auto"/>
              </w:rPr>
              <w:t>John T. Smith (Matrix</w:t>
            </w:r>
          </w:p>
        </w:tc>
        <w:tc>
          <w:tcPr>
            <w:tcW w:w="2080" w:type="dxa"/>
            <w:vAlign w:val="bottom"/>
          </w:tcPr>
          <w:p>
            <w:pPr>
              <w:ind w:left="120"/>
              <w:spacing w:after="0"/>
              <w:rPr>
                <w:sz w:val="20"/>
                <w:szCs w:val="20"/>
                <w:color w:val="auto"/>
              </w:rPr>
            </w:pPr>
            <w:r>
              <w:rPr>
                <w:rFonts w:ascii="Arial" w:cs="Arial" w:eastAsia="Arial" w:hAnsi="Arial"/>
                <w:sz w:val="18"/>
                <w:szCs w:val="18"/>
                <w:color w:val="auto"/>
                <w:w w:val="99"/>
              </w:rPr>
              <w:t>STATE OF OKLAHOMA</w:t>
            </w: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Contractor’s License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01/27/11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01/27/12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Service Inc.)</w:t>
            </w:r>
          </w:p>
        </w:tc>
        <w:tc>
          <w:tcPr>
            <w:tcW w:w="20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Bond #040697</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08364728</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SECRETARY OF THE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Contractors License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04/13/10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 LOUISIANA</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08983170</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tcPr>
          <w:p>
            <w:pPr>
              <w:ind w:left="120"/>
              <w:spacing w:after="0"/>
              <w:rPr>
                <w:sz w:val="20"/>
                <w:szCs w:val="20"/>
                <w:color w:val="auto"/>
              </w:rPr>
            </w:pPr>
            <w:r>
              <w:rPr>
                <w:rFonts w:ascii="Arial" w:cs="Arial" w:eastAsia="Arial" w:hAnsi="Arial"/>
                <w:sz w:val="18"/>
                <w:szCs w:val="18"/>
                <w:color w:val="auto"/>
              </w:rPr>
              <w:t>STATE OF</w:t>
            </w:r>
          </w:p>
        </w:tc>
        <w:tc>
          <w:tcPr>
            <w:tcW w:w="2120" w:type="dxa"/>
            <w:vAlign w:val="bottom"/>
          </w:tcPr>
          <w:p>
            <w:pPr>
              <w:ind w:left="160"/>
              <w:spacing w:after="0"/>
              <w:rPr>
                <w:sz w:val="20"/>
                <w:szCs w:val="20"/>
                <w:color w:val="auto"/>
              </w:rPr>
            </w:pPr>
            <w:r>
              <w:rPr>
                <w:rFonts w:ascii="Arial" w:cs="Arial" w:eastAsia="Arial" w:hAnsi="Arial"/>
                <w:sz w:val="18"/>
                <w:szCs w:val="18"/>
                <w:color w:val="auto"/>
              </w:rPr>
              <w:t>Electrical Contractor’s</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4,000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03/10/11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03/10/12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WASHINGTON Lic.</w:t>
            </w:r>
          </w:p>
        </w:tc>
        <w:tc>
          <w:tcPr>
            <w:tcW w:w="2120" w:type="dxa"/>
            <w:vAlign w:val="bottom"/>
          </w:tcPr>
          <w:p>
            <w:pPr>
              <w:ind w:left="160"/>
              <w:spacing w:after="0"/>
              <w:rPr>
                <w:sz w:val="20"/>
                <w:szCs w:val="20"/>
                <w:color w:val="auto"/>
              </w:rPr>
            </w:pPr>
            <w:r>
              <w:rPr>
                <w:rFonts w:ascii="Arial" w:cs="Arial" w:eastAsia="Arial" w:hAnsi="Arial"/>
                <w:sz w:val="18"/>
                <w:szCs w:val="18"/>
                <w:color w:val="auto"/>
              </w:rPr>
              <w:t>Bond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#MATRISI991PS</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08364727</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SECRETARY OF THE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Contractors License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05/04/10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 LOUISIANA</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09036023</w:t>
            </w:r>
          </w:p>
        </w:tc>
        <w:tc>
          <w:tcPr>
            <w:tcW w:w="2220" w:type="dxa"/>
            <w:vAlign w:val="bottom"/>
          </w:tcPr>
          <w:p>
            <w:pPr>
              <w:ind w:left="160"/>
              <w:spacing w:after="0"/>
              <w:rPr>
                <w:sz w:val="20"/>
                <w:szCs w:val="20"/>
                <w:color w:val="auto"/>
              </w:rPr>
            </w:pPr>
            <w:r>
              <w:rPr>
                <w:rFonts w:ascii="Arial" w:cs="Arial" w:eastAsia="Arial" w:hAnsi="Arial"/>
                <w:sz w:val="18"/>
                <w:szCs w:val="18"/>
                <w:color w:val="auto"/>
              </w:rPr>
              <w:t>MARK MCBROOM</w:t>
            </w:r>
          </w:p>
        </w:tc>
        <w:tc>
          <w:tcPr>
            <w:tcW w:w="2080" w:type="dxa"/>
            <w:vAlign w:val="bottom"/>
          </w:tcPr>
          <w:p>
            <w:pPr>
              <w:ind w:left="120"/>
              <w:spacing w:after="0"/>
              <w:rPr>
                <w:sz w:val="20"/>
                <w:szCs w:val="20"/>
                <w:color w:val="auto"/>
              </w:rPr>
            </w:pPr>
            <w:r>
              <w:rPr>
                <w:rFonts w:ascii="Arial" w:cs="Arial" w:eastAsia="Arial" w:hAnsi="Arial"/>
                <w:sz w:val="18"/>
                <w:szCs w:val="18"/>
                <w:color w:val="auto"/>
                <w:w w:val="99"/>
              </w:rPr>
              <w:t>STATE OF OKLAHOMA</w:t>
            </w: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 License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3/18/2011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3/18/2012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w w:val="99"/>
              </w:rPr>
              <w:t>(MATRIX SERVICE INC.)</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70827228N</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JOYCE CLARK</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COMMONWEALTH OF</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Notary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11/10/09</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11/10/13</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9009317</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120"/>
              <w:spacing w:after="0"/>
              <w:rPr>
                <w:sz w:val="20"/>
                <w:szCs w:val="20"/>
                <w:color w:val="auto"/>
              </w:rPr>
            </w:pPr>
            <w:r>
              <w:rPr>
                <w:rFonts w:ascii="Arial" w:cs="Arial" w:eastAsia="Arial" w:hAnsi="Arial"/>
                <w:sz w:val="18"/>
                <w:szCs w:val="18"/>
                <w:color w:val="auto"/>
              </w:rPr>
              <w:t>I.B.E.W. LOCAL UNION</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08/25/11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08/25/12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120"/>
              <w:spacing w:after="0"/>
              <w:rPr>
                <w:sz w:val="20"/>
                <w:szCs w:val="20"/>
                <w:color w:val="auto"/>
              </w:rPr>
            </w:pPr>
            <w:r>
              <w:rPr>
                <w:rFonts w:ascii="Arial" w:cs="Arial" w:eastAsia="Arial" w:hAnsi="Arial"/>
                <w:sz w:val="18"/>
                <w:szCs w:val="18"/>
                <w:color w:val="auto"/>
              </w:rPr>
              <w:t>313 NEW CASTLE,</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DELAWARE</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08719373</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LABORERS’ DISTRICT</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 &amp; Welfare Funds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07/14/11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COUNCIL OF THE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Bond</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METROPOLITAN AREA</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PHILADELPHIA &amp;</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VICINITY</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8719372</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120"/>
              <w:spacing w:after="0"/>
              <w:rPr>
                <w:sz w:val="20"/>
                <w:szCs w:val="20"/>
                <w:color w:val="auto"/>
              </w:rPr>
            </w:pPr>
            <w:r>
              <w:rPr>
                <w:rFonts w:ascii="Arial" w:cs="Arial" w:eastAsia="Arial" w:hAnsi="Arial"/>
                <w:sz w:val="18"/>
                <w:szCs w:val="18"/>
                <w:color w:val="auto"/>
              </w:rPr>
              <w:t>MILLWRIGHTS AND</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 Funds</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07/14/11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120"/>
              <w:spacing w:after="0"/>
              <w:rPr>
                <w:sz w:val="20"/>
                <w:szCs w:val="20"/>
                <w:color w:val="auto"/>
              </w:rPr>
            </w:pPr>
            <w:r>
              <w:rPr>
                <w:rFonts w:ascii="Arial" w:cs="Arial" w:eastAsia="Arial" w:hAnsi="Arial"/>
                <w:sz w:val="18"/>
                <w:szCs w:val="18"/>
                <w:color w:val="auto"/>
              </w:rPr>
              <w:t>MACHINERY</w:t>
            </w:r>
          </w:p>
        </w:tc>
        <w:tc>
          <w:tcPr>
            <w:tcW w:w="2120" w:type="dxa"/>
            <w:vAlign w:val="bottom"/>
          </w:tcPr>
          <w:p>
            <w:pPr>
              <w:ind w:left="160"/>
              <w:spacing w:after="0"/>
              <w:rPr>
                <w:sz w:val="20"/>
                <w:szCs w:val="20"/>
                <w:color w:val="auto"/>
              </w:rPr>
            </w:pPr>
            <w:r>
              <w:rPr>
                <w:rFonts w:ascii="Arial" w:cs="Arial" w:eastAsia="Arial" w:hAnsi="Arial"/>
                <w:sz w:val="18"/>
                <w:szCs w:val="18"/>
                <w:color w:val="auto"/>
              </w:rPr>
              <w:t>Bond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ind w:left="120"/>
              <w:spacing w:after="0"/>
              <w:rPr>
                <w:sz w:val="20"/>
                <w:szCs w:val="20"/>
                <w:color w:val="auto"/>
              </w:rPr>
            </w:pPr>
            <w:r>
              <w:rPr>
                <w:rFonts w:ascii="Arial" w:cs="Arial" w:eastAsia="Arial" w:hAnsi="Arial"/>
                <w:sz w:val="18"/>
                <w:szCs w:val="18"/>
                <w:color w:val="auto"/>
              </w:rPr>
              <w:t>ERECTORS LOCAL</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UNION 1545</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08720268</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Fringe Benefit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08/27/11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08/27/12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SPECIALIZED</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ENGINEERS LOCAL</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825</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8756504</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120"/>
              <w:spacing w:after="0"/>
              <w:rPr>
                <w:sz w:val="20"/>
                <w:szCs w:val="20"/>
                <w:color w:val="auto"/>
              </w:rPr>
            </w:pPr>
            <w:r>
              <w:rPr>
                <w:rFonts w:ascii="Arial" w:cs="Arial" w:eastAsia="Arial" w:hAnsi="Arial"/>
                <w:sz w:val="18"/>
                <w:szCs w:val="18"/>
                <w:color w:val="auto"/>
                <w:w w:val="98"/>
              </w:rPr>
              <w:t>STATE OF ALASKA Lic.</w:t>
            </w:r>
          </w:p>
        </w:tc>
        <w:tc>
          <w:tcPr>
            <w:tcW w:w="2120" w:type="dxa"/>
            <w:vAlign w:val="bottom"/>
          </w:tcPr>
          <w:p>
            <w:pPr>
              <w:ind w:left="160"/>
              <w:spacing w:after="0"/>
              <w:rPr>
                <w:sz w:val="20"/>
                <w:szCs w:val="20"/>
                <w:color w:val="auto"/>
              </w:rPr>
            </w:pPr>
            <w:r>
              <w:rPr>
                <w:rFonts w:ascii="Arial" w:cs="Arial" w:eastAsia="Arial" w:hAnsi="Arial"/>
                <w:sz w:val="18"/>
                <w:szCs w:val="18"/>
                <w:color w:val="auto"/>
              </w:rPr>
              <w:t>Construction Contractor</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03/17/10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12/31/11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120"/>
              <w:spacing w:after="0"/>
              <w:rPr>
                <w:sz w:val="20"/>
                <w:szCs w:val="20"/>
                <w:color w:val="auto"/>
              </w:rPr>
            </w:pPr>
            <w:r>
              <w:rPr>
                <w:rFonts w:ascii="Arial" w:cs="Arial" w:eastAsia="Arial" w:hAnsi="Arial"/>
                <w:sz w:val="18"/>
                <w:szCs w:val="18"/>
                <w:color w:val="auto"/>
              </w:rPr>
              <w:t>#31238</w:t>
            </w:r>
          </w:p>
        </w:tc>
        <w:tc>
          <w:tcPr>
            <w:tcW w:w="2120" w:type="dxa"/>
            <w:vAlign w:val="bottom"/>
          </w:tcPr>
          <w:p>
            <w:pPr>
              <w:ind w:left="160"/>
              <w:spacing w:after="0"/>
              <w:rPr>
                <w:sz w:val="20"/>
                <w:szCs w:val="20"/>
                <w:color w:val="auto"/>
              </w:rPr>
            </w:pPr>
            <w:r>
              <w:rPr>
                <w:rFonts w:ascii="Arial" w:cs="Arial" w:eastAsia="Arial" w:hAnsi="Arial"/>
                <w:sz w:val="18"/>
                <w:szCs w:val="18"/>
                <w:color w:val="auto"/>
              </w:rPr>
              <w:t>Surety Bond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9026731</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STATE OF ALASKA Lic.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Contractor</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03/09/11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03/09/12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DBA MATRIX TANK</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#25316</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Surety Bond</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INC.</w:t>
            </w:r>
          </w:p>
        </w:tc>
        <w:tc>
          <w:tcPr>
            <w:tcW w:w="2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138060680</w:t>
            </w:r>
          </w:p>
        </w:tc>
        <w:tc>
          <w:tcPr>
            <w:tcW w:w="2220" w:type="dxa"/>
            <w:vAlign w:val="bottom"/>
          </w:tcPr>
          <w:p>
            <w:pPr>
              <w:ind w:left="160"/>
              <w:spacing w:after="0"/>
              <w:rPr>
                <w:sz w:val="20"/>
                <w:szCs w:val="20"/>
                <w:color w:val="auto"/>
              </w:rPr>
            </w:pPr>
            <w:r>
              <w:rPr>
                <w:rFonts w:ascii="Arial" w:cs="Arial" w:eastAsia="Arial" w:hAnsi="Arial"/>
                <w:sz w:val="18"/>
                <w:szCs w:val="18"/>
                <w:color w:val="auto"/>
              </w:rPr>
              <w:t>MATRIX (TANK)</w:t>
            </w:r>
          </w:p>
        </w:tc>
        <w:tc>
          <w:tcPr>
            <w:tcW w:w="2080" w:type="dxa"/>
            <w:vAlign w:val="bottom"/>
          </w:tcPr>
          <w:p>
            <w:pPr>
              <w:ind w:left="120"/>
              <w:spacing w:after="0"/>
              <w:rPr>
                <w:sz w:val="20"/>
                <w:szCs w:val="20"/>
                <w:color w:val="auto"/>
              </w:rPr>
            </w:pPr>
            <w:r>
              <w:rPr>
                <w:rFonts w:ascii="Arial" w:cs="Arial" w:eastAsia="Arial" w:hAnsi="Arial"/>
                <w:sz w:val="18"/>
                <w:szCs w:val="18"/>
                <w:color w:val="auto"/>
              </w:rPr>
              <w:t>STATE OF ARIZONA</w:t>
            </w:r>
          </w:p>
        </w:tc>
        <w:tc>
          <w:tcPr>
            <w:tcW w:w="2120" w:type="dxa"/>
            <w:vAlign w:val="bottom"/>
          </w:tcPr>
          <w:p>
            <w:pPr>
              <w:ind w:left="160"/>
              <w:spacing w:after="0"/>
              <w:rPr>
                <w:sz w:val="20"/>
                <w:szCs w:val="20"/>
                <w:color w:val="auto"/>
              </w:rPr>
            </w:pPr>
            <w:r>
              <w:rPr>
                <w:rFonts w:ascii="Arial" w:cs="Arial" w:eastAsia="Arial" w:hAnsi="Arial"/>
                <w:sz w:val="18"/>
                <w:szCs w:val="18"/>
                <w:color w:val="auto"/>
              </w:rPr>
              <w:t>License Bond - L-56</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01/24/10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SERVICE, INC. MATRIX</w:t>
            </w:r>
          </w:p>
        </w:tc>
        <w:tc>
          <w:tcPr>
            <w:tcW w:w="20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Welding</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SERVICE, INC.</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105209499</w:t>
            </w: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MICHAEL D. HUBER</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Notary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NP</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0"/>
              </w:rPr>
              <w:t>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05/19/09</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05/19/13</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WASHINGTON</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8" w:right="239" w:bottom="738"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Aon</w:t>
            </w:r>
          </w:p>
        </w:tc>
        <w:tc>
          <w:tcPr>
            <w:tcW w:w="6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BOND</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BOND NO.</w:t>
            </w:r>
          </w:p>
        </w:tc>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PRINCIPAL</w:t>
            </w:r>
          </w:p>
        </w:tc>
        <w:tc>
          <w:tcPr>
            <w:tcW w:w="2120" w:type="dxa"/>
            <w:vAlign w:val="bottom"/>
          </w:tcPr>
          <w:p>
            <w:pPr>
              <w:ind w:left="800"/>
              <w:spacing w:after="0"/>
              <w:rPr>
                <w:sz w:val="20"/>
                <w:szCs w:val="20"/>
                <w:color w:val="auto"/>
              </w:rPr>
            </w:pPr>
            <w:r>
              <w:rPr>
                <w:rFonts w:ascii="Arial" w:cs="Arial" w:eastAsia="Arial" w:hAnsi="Arial"/>
                <w:sz w:val="14"/>
                <w:szCs w:val="14"/>
                <w:b w:val="1"/>
                <w:bCs w:val="1"/>
                <w:color w:val="auto"/>
              </w:rPr>
              <w:t>OBLIGEE</w:t>
            </w:r>
          </w:p>
        </w:tc>
        <w:tc>
          <w:tcPr>
            <w:tcW w:w="2120" w:type="dxa"/>
            <w:vAlign w:val="bottom"/>
          </w:tcPr>
          <w:p>
            <w:pPr>
              <w:ind w:left="62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rPr>
              <w:t>EFFECTIVE</w:t>
            </w: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104906874</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Robin G. Van Den Berg</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Notary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2/15/2009</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2/15/2013</w:t>
            </w: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9026630</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tcPr>
          <w:p>
            <w:pPr>
              <w:ind w:left="160"/>
              <w:spacing w:after="0"/>
              <w:rPr>
                <w:sz w:val="20"/>
                <w:szCs w:val="20"/>
                <w:color w:val="auto"/>
              </w:rPr>
            </w:pPr>
            <w:r>
              <w:rPr>
                <w:rFonts w:ascii="Arial" w:cs="Arial" w:eastAsia="Arial" w:hAnsi="Arial"/>
                <w:sz w:val="18"/>
                <w:szCs w:val="18"/>
                <w:color w:val="auto"/>
              </w:rPr>
              <w:t>TEXAS DEPARTMENT</w:t>
            </w:r>
          </w:p>
        </w:tc>
        <w:tc>
          <w:tcPr>
            <w:tcW w:w="2120" w:type="dxa"/>
            <w:vAlign w:val="bottom"/>
          </w:tcPr>
          <w:p>
            <w:pPr>
              <w:ind w:left="140"/>
              <w:spacing w:after="0"/>
              <w:rPr>
                <w:sz w:val="20"/>
                <w:szCs w:val="20"/>
                <w:color w:val="auto"/>
              </w:rPr>
            </w:pPr>
            <w:r>
              <w:rPr>
                <w:rFonts w:ascii="Arial" w:cs="Arial" w:eastAsia="Arial" w:hAnsi="Arial"/>
                <w:sz w:val="18"/>
                <w:szCs w:val="18"/>
                <w:color w:val="auto"/>
              </w:rPr>
              <w:t>Superheavy or Oversize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09/01/11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08/31/12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8"/>
              </w:rPr>
              <w:t>OF TRANSPORTATION</w:t>
            </w:r>
          </w:p>
        </w:tc>
        <w:tc>
          <w:tcPr>
            <w:tcW w:w="2120" w:type="dxa"/>
            <w:vAlign w:val="bottom"/>
          </w:tcPr>
          <w:p>
            <w:pPr>
              <w:ind w:left="140"/>
              <w:spacing w:after="0"/>
              <w:rPr>
                <w:sz w:val="20"/>
                <w:szCs w:val="20"/>
                <w:color w:val="auto"/>
              </w:rPr>
            </w:pPr>
            <w:r>
              <w:rPr>
                <w:rFonts w:ascii="Arial" w:cs="Arial" w:eastAsia="Arial" w:hAnsi="Arial"/>
                <w:sz w:val="18"/>
                <w:szCs w:val="18"/>
                <w:color w:val="auto"/>
              </w:rPr>
              <w:t>Permit Bond (Annual)</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08983152</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 LOUISIANA</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 License Job</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04/16/10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#21218144</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09057361</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tcPr>
          <w:p>
            <w:pPr>
              <w:ind w:left="160"/>
              <w:spacing w:after="0"/>
              <w:rPr>
                <w:sz w:val="20"/>
                <w:szCs w:val="20"/>
                <w:color w:val="auto"/>
              </w:rPr>
            </w:pPr>
            <w:r>
              <w:rPr>
                <w:rFonts w:ascii="Arial" w:cs="Arial" w:eastAsia="Arial" w:hAnsi="Arial"/>
                <w:sz w:val="18"/>
                <w:szCs w:val="18"/>
                <w:color w:val="auto"/>
              </w:rPr>
              <w:t>STATE OF NEW</w:t>
            </w:r>
          </w:p>
        </w:tc>
        <w:tc>
          <w:tcPr>
            <w:tcW w:w="2120" w:type="dxa"/>
            <w:vAlign w:val="bottom"/>
          </w:tcPr>
          <w:p>
            <w:pPr>
              <w:ind w:left="140"/>
              <w:spacing w:after="0"/>
              <w:rPr>
                <w:sz w:val="20"/>
                <w:szCs w:val="20"/>
                <w:color w:val="auto"/>
              </w:rPr>
            </w:pPr>
            <w:r>
              <w:rPr>
                <w:rFonts w:ascii="Arial" w:cs="Arial" w:eastAsia="Arial" w:hAnsi="Arial"/>
                <w:sz w:val="18"/>
                <w:szCs w:val="18"/>
                <w:color w:val="auto"/>
                <w:w w:val="94"/>
              </w:rPr>
              <w:t>Contractors License Bond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08/12/11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08/12/12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MEXICO</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LPM8756491</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 and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03/15/11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03/15/12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WASHINGTON Lic.</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#MATRISI950DN</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9009315</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tcPr>
          <w:p>
            <w:pPr>
              <w:ind w:left="160"/>
              <w:spacing w:after="0"/>
              <w:rPr>
                <w:sz w:val="20"/>
                <w:szCs w:val="20"/>
                <w:color w:val="auto"/>
              </w:rPr>
            </w:pPr>
            <w:r>
              <w:rPr>
                <w:rFonts w:ascii="Arial" w:cs="Arial" w:eastAsia="Arial" w:hAnsi="Arial"/>
                <w:sz w:val="18"/>
                <w:szCs w:val="18"/>
                <w:color w:val="auto"/>
              </w:rPr>
              <w:t>STATE OF</w:t>
            </w:r>
          </w:p>
        </w:tc>
        <w:tc>
          <w:tcPr>
            <w:tcW w:w="2120" w:type="dxa"/>
            <w:vAlign w:val="bottom"/>
          </w:tcPr>
          <w:p>
            <w:pPr>
              <w:ind w:left="140"/>
              <w:spacing w:after="0"/>
              <w:rPr>
                <w:sz w:val="20"/>
                <w:szCs w:val="20"/>
                <w:color w:val="auto"/>
              </w:rPr>
            </w:pPr>
            <w:r>
              <w:rPr>
                <w:rFonts w:ascii="Arial" w:cs="Arial" w:eastAsia="Arial" w:hAnsi="Arial"/>
                <w:sz w:val="18"/>
                <w:szCs w:val="18"/>
                <w:color w:val="auto"/>
                <w:w w:val="97"/>
              </w:rPr>
              <w:t>Contractor’s Surety Bond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WASHINGTON</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8/16/2010</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9009399</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Contractor’s Surety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08/16/11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08/16/12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WASHINGTON Lic.</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#MATRISI115OJ</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8364733</w:t>
            </w:r>
          </w:p>
        </w:tc>
        <w:tc>
          <w:tcPr>
            <w:tcW w:w="2180" w:type="dxa"/>
            <w:vAlign w:val="bottom"/>
          </w:tcPr>
          <w:p>
            <w:pPr>
              <w:ind w:left="160"/>
              <w:spacing w:after="0"/>
              <w:rPr>
                <w:sz w:val="20"/>
                <w:szCs w:val="20"/>
                <w:color w:val="auto"/>
              </w:rPr>
            </w:pPr>
            <w:r>
              <w:rPr>
                <w:rFonts w:ascii="Arial" w:cs="Arial" w:eastAsia="Arial" w:hAnsi="Arial"/>
                <w:sz w:val="18"/>
                <w:szCs w:val="18"/>
                <w:color w:val="auto"/>
              </w:rPr>
              <w:t>BILL JAEKEL</w:t>
            </w:r>
          </w:p>
        </w:tc>
        <w:tc>
          <w:tcPr>
            <w:tcW w:w="2120" w:type="dxa"/>
            <w:vAlign w:val="bottom"/>
          </w:tcPr>
          <w:p>
            <w:pPr>
              <w:ind w:left="160"/>
              <w:spacing w:after="0"/>
              <w:rPr>
                <w:sz w:val="20"/>
                <w:szCs w:val="20"/>
                <w:color w:val="auto"/>
              </w:rPr>
            </w:pPr>
            <w:r>
              <w:rPr>
                <w:rFonts w:ascii="Arial" w:cs="Arial" w:eastAsia="Arial" w:hAnsi="Arial"/>
                <w:sz w:val="18"/>
                <w:szCs w:val="18"/>
                <w:color w:val="auto"/>
              </w:rPr>
              <w:t>CALIFORNIA</w:t>
            </w:r>
          </w:p>
        </w:tc>
        <w:tc>
          <w:tcPr>
            <w:tcW w:w="2120" w:type="dxa"/>
            <w:vAlign w:val="bottom"/>
          </w:tcPr>
          <w:p>
            <w:pPr>
              <w:ind w:left="140"/>
              <w:spacing w:after="0"/>
              <w:rPr>
                <w:sz w:val="20"/>
                <w:szCs w:val="20"/>
                <w:color w:val="auto"/>
              </w:rPr>
            </w:pPr>
            <w:r>
              <w:rPr>
                <w:rFonts w:ascii="Arial" w:cs="Arial" w:eastAsia="Arial" w:hAnsi="Arial"/>
                <w:sz w:val="18"/>
                <w:szCs w:val="18"/>
                <w:color w:val="auto"/>
              </w:rPr>
              <w:t>CA Cont - Qual</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06/18/11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06/18/12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CONTRACTORS</w:t>
            </w:r>
          </w:p>
        </w:tc>
        <w:tc>
          <w:tcPr>
            <w:tcW w:w="2120" w:type="dxa"/>
            <w:vAlign w:val="bottom"/>
          </w:tcPr>
          <w:p>
            <w:pPr>
              <w:ind w:left="140"/>
              <w:spacing w:after="0"/>
              <w:rPr>
                <w:sz w:val="20"/>
                <w:szCs w:val="20"/>
                <w:color w:val="auto"/>
              </w:rPr>
            </w:pPr>
            <w:r>
              <w:rPr>
                <w:rFonts w:ascii="Arial" w:cs="Arial" w:eastAsia="Arial" w:hAnsi="Arial"/>
                <w:sz w:val="18"/>
                <w:szCs w:val="18"/>
                <w:color w:val="auto"/>
              </w:rPr>
              <w:t>Individual</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BOARD</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09036017</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STATE OF CALIFORNIA</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3/9/2011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3/9/2012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INC.</w:t>
            </w:r>
          </w:p>
        </w:tc>
        <w:tc>
          <w:tcPr>
            <w:tcW w:w="2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09036050</w:t>
            </w:r>
          </w:p>
        </w:tc>
        <w:tc>
          <w:tcPr>
            <w:tcW w:w="2180" w:type="dxa"/>
            <w:vAlign w:val="bottom"/>
          </w:tcPr>
          <w:p>
            <w:pPr>
              <w:ind w:left="160"/>
              <w:spacing w:after="0"/>
              <w:rPr>
                <w:sz w:val="20"/>
                <w:szCs w:val="20"/>
                <w:color w:val="auto"/>
              </w:rPr>
            </w:pPr>
            <w:r>
              <w:rPr>
                <w:rFonts w:ascii="Arial" w:cs="Arial" w:eastAsia="Arial" w:hAnsi="Arial"/>
                <w:sz w:val="18"/>
                <w:szCs w:val="18"/>
                <w:color w:val="auto"/>
              </w:rPr>
              <w:t>BILL JAEKEL (S.M.</w:t>
            </w:r>
          </w:p>
        </w:tc>
        <w:tc>
          <w:tcPr>
            <w:tcW w:w="2120" w:type="dxa"/>
            <w:vAlign w:val="bottom"/>
          </w:tcPr>
          <w:p>
            <w:pPr>
              <w:ind w:left="160"/>
              <w:spacing w:after="0"/>
              <w:rPr>
                <w:sz w:val="20"/>
                <w:szCs w:val="20"/>
                <w:color w:val="auto"/>
              </w:rPr>
            </w:pPr>
            <w:r>
              <w:rPr>
                <w:rFonts w:ascii="Arial" w:cs="Arial" w:eastAsia="Arial" w:hAnsi="Arial"/>
                <w:sz w:val="18"/>
                <w:szCs w:val="18"/>
                <w:color w:val="auto"/>
              </w:rPr>
              <w:t>CALIFORNIA</w:t>
            </w:r>
          </w:p>
        </w:tc>
        <w:tc>
          <w:tcPr>
            <w:tcW w:w="2120" w:type="dxa"/>
            <w:vAlign w:val="bottom"/>
          </w:tcPr>
          <w:p>
            <w:pPr>
              <w:ind w:left="140"/>
              <w:spacing w:after="0"/>
              <w:rPr>
                <w:sz w:val="20"/>
                <w:szCs w:val="20"/>
                <w:color w:val="auto"/>
              </w:rPr>
            </w:pPr>
            <w:r>
              <w:rPr>
                <w:rFonts w:ascii="Arial" w:cs="Arial" w:eastAsia="Arial" w:hAnsi="Arial"/>
                <w:sz w:val="18"/>
                <w:szCs w:val="18"/>
                <w:color w:val="auto"/>
              </w:rPr>
              <w:t>CA Cont - Qual</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3/31/2011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3/31/2012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ELECTRIC COMPANY,</w:t>
            </w: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CONTRACTORS</w:t>
            </w:r>
          </w:p>
        </w:tc>
        <w:tc>
          <w:tcPr>
            <w:tcW w:w="2120" w:type="dxa"/>
            <w:vAlign w:val="bottom"/>
          </w:tcPr>
          <w:p>
            <w:pPr>
              <w:ind w:left="140"/>
              <w:spacing w:after="0"/>
              <w:rPr>
                <w:sz w:val="20"/>
                <w:szCs w:val="20"/>
                <w:color w:val="auto"/>
              </w:rPr>
            </w:pPr>
            <w:r>
              <w:rPr>
                <w:rFonts w:ascii="Arial" w:cs="Arial" w:eastAsia="Arial" w:hAnsi="Arial"/>
                <w:sz w:val="18"/>
                <w:szCs w:val="18"/>
                <w:color w:val="auto"/>
              </w:rPr>
              <w:t>Individual</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INC.)</w:t>
            </w:r>
          </w:p>
        </w:tc>
        <w:tc>
          <w:tcPr>
            <w:tcW w:w="2120" w:type="dxa"/>
            <w:vAlign w:val="bottom"/>
          </w:tcPr>
          <w:p>
            <w:pPr>
              <w:ind w:left="160"/>
              <w:spacing w:after="0"/>
              <w:rPr>
                <w:sz w:val="20"/>
                <w:szCs w:val="20"/>
                <w:color w:val="auto"/>
              </w:rPr>
            </w:pPr>
            <w:r>
              <w:rPr>
                <w:rFonts w:ascii="Arial" w:cs="Arial" w:eastAsia="Arial" w:hAnsi="Arial"/>
                <w:sz w:val="18"/>
                <w:szCs w:val="18"/>
                <w:color w:val="auto"/>
              </w:rPr>
              <w:t>BOARD</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LPM8828025</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STATE OF CALIFORNIA</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Contractors License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04/18/11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04/18/12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 #579211</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w w:val="95"/>
              </w:rPr>
              <w:t>LPM8828024</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120" w:type="dxa"/>
            <w:vAlign w:val="bottom"/>
          </w:tcPr>
          <w:p>
            <w:pPr>
              <w:ind w:left="160"/>
              <w:spacing w:after="0"/>
              <w:rPr>
                <w:sz w:val="20"/>
                <w:szCs w:val="20"/>
                <w:color w:val="auto"/>
              </w:rPr>
            </w:pPr>
            <w:r>
              <w:rPr>
                <w:rFonts w:ascii="Arial" w:cs="Arial" w:eastAsia="Arial" w:hAnsi="Arial"/>
                <w:sz w:val="18"/>
                <w:szCs w:val="18"/>
                <w:color w:val="auto"/>
                <w:w w:val="96"/>
              </w:rPr>
              <w:t>STATE OF CALIFORNIA</w:t>
            </w:r>
          </w:p>
        </w:tc>
        <w:tc>
          <w:tcPr>
            <w:tcW w:w="2120" w:type="dxa"/>
            <w:vAlign w:val="bottom"/>
          </w:tcPr>
          <w:p>
            <w:pPr>
              <w:ind w:left="140"/>
              <w:spacing w:after="0"/>
              <w:rPr>
                <w:sz w:val="20"/>
                <w:szCs w:val="20"/>
                <w:color w:val="auto"/>
              </w:rPr>
            </w:pPr>
            <w:r>
              <w:rPr>
                <w:rFonts w:ascii="Arial" w:cs="Arial" w:eastAsia="Arial" w:hAnsi="Arial"/>
                <w:sz w:val="18"/>
                <w:szCs w:val="18"/>
                <w:color w:val="auto"/>
              </w:rPr>
              <w:t>Contractor’s license</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04/18/11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04/18/12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120" w:type="dxa"/>
            <w:vAlign w:val="bottom"/>
          </w:tcPr>
          <w:p>
            <w:pPr>
              <w:ind w:left="160"/>
              <w:spacing w:after="0"/>
              <w:rPr>
                <w:sz w:val="20"/>
                <w:szCs w:val="20"/>
                <w:color w:val="auto"/>
              </w:rPr>
            </w:pPr>
            <w:r>
              <w:rPr>
                <w:rFonts w:ascii="Arial" w:cs="Arial" w:eastAsia="Arial" w:hAnsi="Arial"/>
                <w:sz w:val="18"/>
                <w:szCs w:val="18"/>
                <w:color w:val="auto"/>
              </w:rPr>
              <w:t>Lic. #790060</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08983172</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KEVIN A. DURKIN</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Qualifying Individual</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$ 12,500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03/21/11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03/21/12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CALIFORNIA.</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08364734</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tcPr>
          <w:p>
            <w:pPr>
              <w:ind w:left="160"/>
              <w:spacing w:after="0"/>
              <w:rPr>
                <w:sz w:val="20"/>
                <w:szCs w:val="20"/>
                <w:color w:val="auto"/>
              </w:rPr>
            </w:pPr>
            <w:r>
              <w:rPr>
                <w:rFonts w:ascii="Arial" w:cs="Arial" w:eastAsia="Arial" w:hAnsi="Arial"/>
                <w:sz w:val="18"/>
                <w:szCs w:val="18"/>
                <w:color w:val="auto"/>
              </w:rPr>
              <w:t>SECRETARY OF THE</w:t>
            </w:r>
          </w:p>
        </w:tc>
        <w:tc>
          <w:tcPr>
            <w:tcW w:w="2120" w:type="dxa"/>
            <w:vAlign w:val="bottom"/>
          </w:tcPr>
          <w:p>
            <w:pPr>
              <w:ind w:left="140"/>
              <w:spacing w:after="0"/>
              <w:rPr>
                <w:sz w:val="20"/>
                <w:szCs w:val="20"/>
                <w:color w:val="auto"/>
              </w:rPr>
            </w:pPr>
            <w:r>
              <w:rPr>
                <w:rFonts w:ascii="Arial" w:cs="Arial" w:eastAsia="Arial" w:hAnsi="Arial"/>
                <w:sz w:val="18"/>
                <w:szCs w:val="18"/>
                <w:color w:val="auto"/>
                <w:w w:val="94"/>
              </w:rPr>
              <w:t>Contractors License Bond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07/06/10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DEPARTMENT OF</w:t>
            </w:r>
          </w:p>
        </w:tc>
        <w:tc>
          <w:tcPr>
            <w:tcW w:w="2120" w:type="dxa"/>
            <w:vAlign w:val="bottom"/>
          </w:tcPr>
          <w:p>
            <w:pPr>
              <w:ind w:left="140"/>
              <w:spacing w:after="0"/>
              <w:rPr>
                <w:sz w:val="20"/>
                <w:szCs w:val="20"/>
                <w:color w:val="auto"/>
              </w:rPr>
            </w:pPr>
            <w:r>
              <w:rPr>
                <w:rFonts w:ascii="Arial" w:cs="Arial" w:eastAsia="Arial" w:hAnsi="Arial"/>
                <w:sz w:val="18"/>
                <w:szCs w:val="18"/>
                <w:color w:val="auto"/>
              </w:rPr>
              <w:t>Petroleum Storage Tank</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REVENUE FOR THE</w:t>
            </w:r>
          </w:p>
        </w:tc>
        <w:tc>
          <w:tcPr>
            <w:tcW w:w="2120" w:type="dxa"/>
            <w:vAlign w:val="bottom"/>
          </w:tcPr>
          <w:p>
            <w:pPr>
              <w:ind w:left="140"/>
              <w:spacing w:after="0"/>
              <w:rPr>
                <w:sz w:val="20"/>
                <w:szCs w:val="20"/>
                <w:color w:val="auto"/>
              </w:rPr>
            </w:pPr>
            <w:r>
              <w:rPr>
                <w:rFonts w:ascii="Arial" w:cs="Arial" w:eastAsia="Arial" w:hAnsi="Arial"/>
                <w:sz w:val="18"/>
                <w:szCs w:val="18"/>
                <w:color w:val="auto"/>
              </w:rPr>
              <w:t>Erection/Repair, Job</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STATE OF LOUISIANA</w:t>
            </w:r>
          </w:p>
        </w:tc>
        <w:tc>
          <w:tcPr>
            <w:tcW w:w="2120" w:type="dxa"/>
            <w:vAlign w:val="bottom"/>
          </w:tcPr>
          <w:p>
            <w:pPr>
              <w:ind w:left="140"/>
              <w:spacing w:after="0"/>
              <w:rPr>
                <w:sz w:val="20"/>
                <w:szCs w:val="20"/>
                <w:color w:val="auto"/>
              </w:rPr>
            </w:pPr>
            <w:r>
              <w:rPr>
                <w:rFonts w:ascii="Arial" w:cs="Arial" w:eastAsia="Arial" w:hAnsi="Arial"/>
                <w:sz w:val="18"/>
                <w:szCs w:val="18"/>
                <w:color w:val="auto"/>
              </w:rPr>
              <w:t>#21212592; Location of</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contract - 11842 River</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w w:val="92"/>
              </w:rPr>
              <w:t>Rd., St. Rose, St. Charles,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LA</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9026663</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CITY OF NEW JERSEY,</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Contractor’s Surety Bond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$ 15,000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11/21/10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11/21/11</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NJ</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09009209</w:t>
            </w:r>
          </w:p>
        </w:tc>
        <w:tc>
          <w:tcPr>
            <w:tcW w:w="2180" w:type="dxa"/>
            <w:vAlign w:val="bottom"/>
          </w:tcPr>
          <w:p>
            <w:pPr>
              <w:ind w:left="160"/>
              <w:spacing w:after="0"/>
              <w:rPr>
                <w:sz w:val="20"/>
                <w:szCs w:val="20"/>
                <w:color w:val="auto"/>
              </w:rPr>
            </w:pPr>
            <w:r>
              <w:rPr>
                <w:rFonts w:ascii="Arial" w:cs="Arial" w:eastAsia="Arial" w:hAnsi="Arial"/>
                <w:sz w:val="18"/>
                <w:szCs w:val="18"/>
                <w:color w:val="auto"/>
              </w:rPr>
              <w:t>S. M. ELECTRIC CO.,</w:t>
            </w:r>
          </w:p>
        </w:tc>
        <w:tc>
          <w:tcPr>
            <w:tcW w:w="2120" w:type="dxa"/>
            <w:vAlign w:val="bottom"/>
          </w:tcPr>
          <w:p>
            <w:pPr>
              <w:ind w:left="160"/>
              <w:spacing w:after="0"/>
              <w:rPr>
                <w:sz w:val="20"/>
                <w:szCs w:val="20"/>
                <w:color w:val="auto"/>
              </w:rPr>
            </w:pPr>
            <w:r>
              <w:rPr>
                <w:rFonts w:ascii="Arial" w:cs="Arial" w:eastAsia="Arial" w:hAnsi="Arial"/>
                <w:sz w:val="18"/>
                <w:szCs w:val="18"/>
                <w:color w:val="auto"/>
              </w:rPr>
              <w:t>LOCAL UNION 208, CT</w:t>
            </w:r>
          </w:p>
        </w:tc>
        <w:tc>
          <w:tcPr>
            <w:tcW w:w="2120" w:type="dxa"/>
            <w:vAlign w:val="bottom"/>
          </w:tcPr>
          <w:p>
            <w:pPr>
              <w:ind w:left="140"/>
              <w:spacing w:after="0"/>
              <w:rPr>
                <w:sz w:val="20"/>
                <w:szCs w:val="20"/>
                <w:color w:val="auto"/>
              </w:rPr>
            </w:pPr>
            <w:r>
              <w:rPr>
                <w:rFonts w:ascii="Arial" w:cs="Arial" w:eastAsia="Arial" w:hAnsi="Arial"/>
                <w:sz w:val="18"/>
                <w:szCs w:val="18"/>
                <w:color w:val="auto"/>
              </w:rPr>
              <w:t>Wage &amp; Welfare</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$ 15,000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05/23/11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05/23/12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INC.</w:t>
            </w:r>
          </w:p>
        </w:tc>
        <w:tc>
          <w:tcPr>
            <w:tcW w:w="2120" w:type="dxa"/>
            <w:vAlign w:val="bottom"/>
          </w:tcPr>
          <w:p>
            <w:pPr>
              <w:ind w:left="160"/>
              <w:spacing w:after="0"/>
              <w:rPr>
                <w:sz w:val="20"/>
                <w:szCs w:val="20"/>
                <w:color w:val="auto"/>
              </w:rPr>
            </w:pPr>
            <w:r>
              <w:rPr>
                <w:rFonts w:ascii="Arial" w:cs="Arial" w:eastAsia="Arial" w:hAnsi="Arial"/>
                <w:sz w:val="18"/>
                <w:szCs w:val="18"/>
                <w:color w:val="auto"/>
              </w:rPr>
              <w:t>CHAPTER</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09009223</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 OREGON</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License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6/16/2010</w:t>
            </w: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8364724</w:t>
            </w:r>
          </w:p>
        </w:tc>
        <w:tc>
          <w:tcPr>
            <w:tcW w:w="218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120" w:type="dxa"/>
            <w:vAlign w:val="bottom"/>
          </w:tcPr>
          <w:p>
            <w:pPr>
              <w:ind w:left="160"/>
              <w:spacing w:after="0"/>
              <w:rPr>
                <w:sz w:val="20"/>
                <w:szCs w:val="20"/>
                <w:color w:val="auto"/>
              </w:rPr>
            </w:pPr>
            <w:r>
              <w:rPr>
                <w:rFonts w:ascii="Arial" w:cs="Arial" w:eastAsia="Arial" w:hAnsi="Arial"/>
                <w:sz w:val="18"/>
                <w:szCs w:val="18"/>
                <w:color w:val="auto"/>
              </w:rPr>
              <w:t>STATE OF LOUISIANA</w:t>
            </w:r>
          </w:p>
        </w:tc>
        <w:tc>
          <w:tcPr>
            <w:tcW w:w="2120" w:type="dxa"/>
            <w:vAlign w:val="bottom"/>
          </w:tcPr>
          <w:p>
            <w:pPr>
              <w:ind w:left="140"/>
              <w:spacing w:after="0"/>
              <w:rPr>
                <w:sz w:val="20"/>
                <w:szCs w:val="20"/>
                <w:color w:val="auto"/>
              </w:rPr>
            </w:pPr>
            <w:r>
              <w:rPr>
                <w:rFonts w:ascii="Arial" w:cs="Arial" w:eastAsia="Arial" w:hAnsi="Arial"/>
                <w:sz w:val="18"/>
                <w:szCs w:val="18"/>
                <w:color w:val="auto"/>
              </w:rPr>
              <w:t>Contractors License Job</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12/29/09</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21212660</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8756488</w:t>
            </w: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IRON WORKERS</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Trust, Pension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$ 20,000</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02/09/11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02/09/12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DISTRICT COUNCIL OF</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and Annuity Trust</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SOUTHRN OHIO &amp;</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VICINITY BENEFIT</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ETAL</w:t>
            </w: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08982050</w:t>
            </w:r>
          </w:p>
        </w:tc>
        <w:tc>
          <w:tcPr>
            <w:tcW w:w="2180" w:type="dxa"/>
            <w:vAlign w:val="bottom"/>
          </w:tcPr>
          <w:p>
            <w:pPr>
              <w:ind w:left="160"/>
              <w:spacing w:after="0"/>
              <w:rPr>
                <w:sz w:val="20"/>
                <w:szCs w:val="20"/>
                <w:color w:val="auto"/>
              </w:rPr>
            </w:pPr>
            <w:r>
              <w:rPr>
                <w:rFonts w:ascii="Arial" w:cs="Arial" w:eastAsia="Arial" w:hAnsi="Arial"/>
                <w:sz w:val="18"/>
                <w:szCs w:val="18"/>
                <w:color w:val="auto"/>
              </w:rPr>
              <w:t>S. M ELECTRIC</w:t>
            </w:r>
          </w:p>
        </w:tc>
        <w:tc>
          <w:tcPr>
            <w:tcW w:w="2120" w:type="dxa"/>
            <w:vAlign w:val="bottom"/>
          </w:tcPr>
          <w:p>
            <w:pPr>
              <w:ind w:left="160"/>
              <w:spacing w:after="0"/>
              <w:rPr>
                <w:sz w:val="20"/>
                <w:szCs w:val="20"/>
                <w:color w:val="auto"/>
              </w:rPr>
            </w:pPr>
            <w:r>
              <w:rPr>
                <w:rFonts w:ascii="Arial" w:cs="Arial" w:eastAsia="Arial" w:hAnsi="Arial"/>
                <w:sz w:val="18"/>
                <w:szCs w:val="18"/>
                <w:color w:val="auto"/>
              </w:rPr>
              <w:t>LOCAL UNION 607,</w:t>
            </w:r>
          </w:p>
        </w:tc>
        <w:tc>
          <w:tcPr>
            <w:tcW w:w="2120" w:type="dxa"/>
            <w:vAlign w:val="bottom"/>
          </w:tcPr>
          <w:p>
            <w:pPr>
              <w:ind w:left="140"/>
              <w:spacing w:after="0"/>
              <w:rPr>
                <w:sz w:val="20"/>
                <w:szCs w:val="20"/>
                <w:color w:val="auto"/>
              </w:rPr>
            </w:pPr>
            <w:r>
              <w:rPr>
                <w:rFonts w:ascii="Arial" w:cs="Arial" w:eastAsia="Arial" w:hAnsi="Arial"/>
                <w:sz w:val="18"/>
                <w:szCs w:val="18"/>
                <w:color w:val="auto"/>
              </w:rPr>
              <w:t>Wage &amp; Welfare</w:t>
            </w: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$ 20,000</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02/28/11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02/28/12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COMPANY, INC.</w:t>
            </w:r>
          </w:p>
        </w:tc>
        <w:tc>
          <w:tcPr>
            <w:tcW w:w="2120" w:type="dxa"/>
            <w:vAlign w:val="bottom"/>
          </w:tcPr>
          <w:p>
            <w:pPr>
              <w:ind w:left="160"/>
              <w:spacing w:after="0"/>
              <w:rPr>
                <w:sz w:val="20"/>
                <w:szCs w:val="20"/>
                <w:color w:val="auto"/>
              </w:rPr>
            </w:pPr>
            <w:r>
              <w:rPr>
                <w:rFonts w:ascii="Arial" w:cs="Arial" w:eastAsia="Arial" w:hAnsi="Arial"/>
                <w:sz w:val="18"/>
                <w:szCs w:val="18"/>
                <w:color w:val="auto"/>
              </w:rPr>
              <w:t>SHAMOKIN DIVISION</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CHAPTER OF PENN-</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DEL-JERSEY</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179" w:name="page180"/>
    <w:bookmarkEnd w:id="1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auto"/>
              </w:rPr>
              <w:t>Aon</w:t>
            </w:r>
          </w:p>
        </w:tc>
        <w:tc>
          <w:tcPr>
            <w:tcW w:w="5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BOND</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BOND NO.</w:t>
            </w:r>
          </w:p>
        </w:tc>
        <w:tc>
          <w:tcPr>
            <w:tcW w:w="2240" w:type="dxa"/>
            <w:vAlign w:val="bottom"/>
          </w:tcPr>
          <w:p>
            <w:pPr>
              <w:ind w:left="820"/>
              <w:spacing w:after="0"/>
              <w:rPr>
                <w:sz w:val="20"/>
                <w:szCs w:val="20"/>
                <w:color w:val="auto"/>
              </w:rPr>
            </w:pPr>
            <w:r>
              <w:rPr>
                <w:rFonts w:ascii="Arial" w:cs="Arial" w:eastAsia="Arial" w:hAnsi="Arial"/>
                <w:sz w:val="14"/>
                <w:szCs w:val="14"/>
                <w:b w:val="1"/>
                <w:bCs w:val="1"/>
                <w:color w:val="auto"/>
              </w:rPr>
              <w:t>PRINCIPAL</w:t>
            </w:r>
          </w:p>
        </w:tc>
        <w:tc>
          <w:tcPr>
            <w:tcW w:w="2080" w:type="dxa"/>
            <w:vAlign w:val="bottom"/>
          </w:tcPr>
          <w:p>
            <w:pPr>
              <w:ind w:left="820"/>
              <w:spacing w:after="0"/>
              <w:rPr>
                <w:sz w:val="20"/>
                <w:szCs w:val="20"/>
                <w:color w:val="auto"/>
              </w:rPr>
            </w:pPr>
            <w:r>
              <w:rPr>
                <w:rFonts w:ascii="Arial" w:cs="Arial" w:eastAsia="Arial" w:hAnsi="Arial"/>
                <w:sz w:val="14"/>
                <w:szCs w:val="14"/>
                <w:b w:val="1"/>
                <w:bCs w:val="1"/>
                <w:color w:val="auto"/>
              </w:rPr>
              <w:t>OBLIGEE</w:t>
            </w:r>
          </w:p>
        </w:tc>
        <w:tc>
          <w:tcPr>
            <w:tcW w:w="216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AMOUNT</w:t>
            </w:r>
          </w:p>
        </w:tc>
        <w:tc>
          <w:tcPr>
            <w:tcW w:w="1100" w:type="dxa"/>
            <w:vAlign w:val="bottom"/>
          </w:tcPr>
          <w:p>
            <w:pPr>
              <w:jc w:val="right"/>
              <w:ind w:right="94"/>
              <w:spacing w:after="0"/>
              <w:rPr>
                <w:sz w:val="20"/>
                <w:szCs w:val="20"/>
                <w:color w:val="auto"/>
              </w:rPr>
            </w:pPr>
            <w:r>
              <w:rPr>
                <w:rFonts w:ascii="Arial" w:cs="Arial" w:eastAsia="Arial" w:hAnsi="Arial"/>
                <w:sz w:val="14"/>
                <w:szCs w:val="14"/>
                <w:b w:val="1"/>
                <w:bCs w:val="1"/>
                <w:color w:val="auto"/>
              </w:rPr>
              <w:t>EFFECTIVE</w:t>
            </w:r>
          </w:p>
        </w:tc>
        <w:tc>
          <w:tcPr>
            <w:tcW w:w="1220" w:type="dxa"/>
            <w:vAlign w:val="bottom"/>
          </w:tcPr>
          <w:p>
            <w:pPr>
              <w:jc w:val="right"/>
              <w:ind w:right="74"/>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9009266</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VILLAGE OF LEMONT,</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Construction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07/19/10</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IL</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9009313</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 CO.</w:t>
            </w:r>
          </w:p>
        </w:tc>
        <w:tc>
          <w:tcPr>
            <w:tcW w:w="2080" w:type="dxa"/>
            <w:vAlign w:val="bottom"/>
          </w:tcPr>
          <w:p>
            <w:pPr>
              <w:ind w:left="200"/>
              <w:spacing w:after="0"/>
              <w:rPr>
                <w:sz w:val="20"/>
                <w:szCs w:val="20"/>
                <w:color w:val="auto"/>
              </w:rPr>
            </w:pPr>
            <w:r>
              <w:rPr>
                <w:rFonts w:ascii="Arial" w:cs="Arial" w:eastAsia="Arial" w:hAnsi="Arial"/>
                <w:sz w:val="18"/>
                <w:szCs w:val="18"/>
                <w:color w:val="auto"/>
                <w:w w:val="98"/>
              </w:rPr>
              <w:t>STATE OF LOUISIANA</w:t>
            </w:r>
          </w:p>
        </w:tc>
        <w:tc>
          <w:tcPr>
            <w:tcW w:w="2160" w:type="dxa"/>
            <w:vAlign w:val="bottom"/>
          </w:tcPr>
          <w:p>
            <w:pPr>
              <w:ind w:left="200"/>
              <w:spacing w:after="0"/>
              <w:rPr>
                <w:sz w:val="20"/>
                <w:szCs w:val="20"/>
                <w:color w:val="auto"/>
              </w:rPr>
            </w:pPr>
            <w:r>
              <w:rPr>
                <w:rFonts w:ascii="Arial" w:cs="Arial" w:eastAsia="Arial" w:hAnsi="Arial"/>
                <w:sz w:val="18"/>
                <w:szCs w:val="18"/>
                <w:color w:val="auto"/>
              </w:rPr>
              <w:t>Contractor License Job</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08/12/10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#21218194</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08983158</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STATE OF LOUISIANA</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Contractor License Job</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04/07/10</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#21218166</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9026679</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200"/>
              <w:spacing w:after="0"/>
              <w:rPr>
                <w:sz w:val="20"/>
                <w:szCs w:val="20"/>
                <w:color w:val="auto"/>
              </w:rPr>
            </w:pPr>
            <w:r>
              <w:rPr>
                <w:rFonts w:ascii="Arial" w:cs="Arial" w:eastAsia="Arial" w:hAnsi="Arial"/>
                <w:sz w:val="18"/>
                <w:szCs w:val="18"/>
                <w:color w:val="auto"/>
              </w:rPr>
              <w:t>WEST VIRGINIA</w:t>
            </w:r>
          </w:p>
        </w:tc>
        <w:tc>
          <w:tcPr>
            <w:tcW w:w="2160" w:type="dxa"/>
            <w:vAlign w:val="bottom"/>
          </w:tcPr>
          <w:p>
            <w:pPr>
              <w:ind w:left="200"/>
              <w:spacing w:after="0"/>
              <w:rPr>
                <w:sz w:val="20"/>
                <w:szCs w:val="20"/>
                <w:color w:val="auto"/>
              </w:rPr>
            </w:pPr>
            <w:r>
              <w:rPr>
                <w:rFonts w:ascii="Arial" w:cs="Arial" w:eastAsia="Arial" w:hAnsi="Arial"/>
                <w:sz w:val="18"/>
                <w:szCs w:val="18"/>
                <w:color w:val="auto"/>
                <w:w w:val="93"/>
              </w:rPr>
              <w:t>Wage Payment Collection</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10/31/10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200"/>
              <w:spacing w:after="0"/>
              <w:rPr>
                <w:sz w:val="20"/>
                <w:szCs w:val="20"/>
                <w:color w:val="auto"/>
              </w:rPr>
            </w:pPr>
            <w:r>
              <w:rPr>
                <w:rFonts w:ascii="Arial" w:cs="Arial" w:eastAsia="Arial" w:hAnsi="Arial"/>
                <w:sz w:val="18"/>
                <w:szCs w:val="18"/>
                <w:color w:val="auto"/>
              </w:rPr>
              <w:t>DIVISION OF LABOR</w:t>
            </w:r>
          </w:p>
        </w:tc>
        <w:tc>
          <w:tcPr>
            <w:tcW w:w="2160" w:type="dxa"/>
            <w:vAlign w:val="bottom"/>
          </w:tcPr>
          <w:p>
            <w:pPr>
              <w:ind w:left="200"/>
              <w:spacing w:after="0"/>
              <w:rPr>
                <w:sz w:val="20"/>
                <w:szCs w:val="20"/>
                <w:color w:val="auto"/>
              </w:rPr>
            </w:pPr>
            <w:r>
              <w:rPr>
                <w:rFonts w:ascii="Arial" w:cs="Arial" w:eastAsia="Arial" w:hAnsi="Arial"/>
                <w:sz w:val="18"/>
                <w:szCs w:val="18"/>
                <w:color w:val="auto"/>
              </w:rPr>
              <w:t>Surety Bond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8719371</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DISTRIC COUNCIL</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 &amp; Welfare Funds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07/14/11</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IRONWORKERS</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FUNDS OF NORTHERN</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JERSEY</w:t>
            </w:r>
          </w:p>
        </w:tc>
        <w:tc>
          <w:tcPr>
            <w:tcW w:w="2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08719374</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160" w:type="dxa"/>
            <w:vAlign w:val="bottom"/>
          </w:tcPr>
          <w:p>
            <w:pPr>
              <w:ind w:left="200"/>
              <w:spacing w:after="0"/>
              <w:rPr>
                <w:sz w:val="20"/>
                <w:szCs w:val="20"/>
                <w:color w:val="auto"/>
              </w:rPr>
            </w:pPr>
            <w:r>
              <w:rPr>
                <w:rFonts w:ascii="Arial" w:cs="Arial" w:eastAsia="Arial" w:hAnsi="Arial"/>
                <w:sz w:val="18"/>
                <w:szCs w:val="18"/>
                <w:color w:val="auto"/>
                <w:w w:val="96"/>
              </w:rPr>
              <w:t>Surety Bond for Payment</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07/14/11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200"/>
              <w:spacing w:after="0"/>
              <w:rPr>
                <w:sz w:val="20"/>
                <w:szCs w:val="20"/>
                <w:color w:val="auto"/>
              </w:rPr>
            </w:pPr>
            <w:r>
              <w:rPr>
                <w:rFonts w:ascii="Arial" w:cs="Arial" w:eastAsia="Arial" w:hAnsi="Arial"/>
                <w:sz w:val="18"/>
                <w:szCs w:val="18"/>
                <w:color w:val="auto"/>
              </w:rPr>
              <w:t>BROTHERHOOD OF</w:t>
            </w:r>
          </w:p>
        </w:tc>
        <w:tc>
          <w:tcPr>
            <w:tcW w:w="2160" w:type="dxa"/>
            <w:vAlign w:val="bottom"/>
          </w:tcPr>
          <w:p>
            <w:pPr>
              <w:ind w:left="200"/>
              <w:spacing w:after="0"/>
              <w:rPr>
                <w:sz w:val="20"/>
                <w:szCs w:val="20"/>
                <w:color w:val="auto"/>
              </w:rPr>
            </w:pPr>
            <w:r>
              <w:rPr>
                <w:rFonts w:ascii="Arial" w:cs="Arial" w:eastAsia="Arial" w:hAnsi="Arial"/>
                <w:sz w:val="18"/>
                <w:szCs w:val="18"/>
                <w:color w:val="auto"/>
              </w:rPr>
              <w:t>of Wages, Fringes and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ind w:left="200"/>
              <w:spacing w:after="0"/>
              <w:rPr>
                <w:sz w:val="20"/>
                <w:szCs w:val="20"/>
                <w:color w:val="auto"/>
              </w:rPr>
            </w:pPr>
            <w:r>
              <w:rPr>
                <w:rFonts w:ascii="Arial" w:cs="Arial" w:eastAsia="Arial" w:hAnsi="Arial"/>
                <w:sz w:val="18"/>
                <w:szCs w:val="18"/>
                <w:color w:val="auto"/>
              </w:rPr>
              <w:t>ELECTRICAL</w:t>
            </w:r>
          </w:p>
        </w:tc>
        <w:tc>
          <w:tcPr>
            <w:tcW w:w="2160" w:type="dxa"/>
            <w:vAlign w:val="bottom"/>
          </w:tcPr>
          <w:p>
            <w:pPr>
              <w:ind w:left="200"/>
              <w:spacing w:after="0"/>
              <w:rPr>
                <w:sz w:val="20"/>
                <w:szCs w:val="20"/>
                <w:color w:val="auto"/>
              </w:rPr>
            </w:pPr>
            <w:r>
              <w:rPr>
                <w:rFonts w:ascii="Arial" w:cs="Arial" w:eastAsia="Arial" w:hAnsi="Arial"/>
                <w:sz w:val="18"/>
                <w:szCs w:val="18"/>
                <w:color w:val="auto"/>
                <w:w w:val="98"/>
              </w:rPr>
              <w:t>Other Amounts Provided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WORKERS, LOCAL</w:t>
            </w:r>
          </w:p>
        </w:tc>
        <w:tc>
          <w:tcPr>
            <w:tcW w:w="2160" w:type="dxa"/>
            <w:vAlign w:val="bottom"/>
          </w:tcPr>
          <w:p>
            <w:pPr>
              <w:ind w:left="200"/>
              <w:spacing w:after="0"/>
              <w:rPr>
                <w:sz w:val="20"/>
                <w:szCs w:val="20"/>
                <w:color w:val="auto"/>
              </w:rPr>
            </w:pPr>
            <w:r>
              <w:rPr>
                <w:rFonts w:ascii="Arial" w:cs="Arial" w:eastAsia="Arial" w:hAnsi="Arial"/>
                <w:sz w:val="18"/>
                <w:szCs w:val="18"/>
                <w:color w:val="auto"/>
              </w:rPr>
              <w:t>for Under a Collective</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UNION #654</w:t>
            </w:r>
          </w:p>
        </w:tc>
        <w:tc>
          <w:tcPr>
            <w:tcW w:w="2160" w:type="dxa"/>
            <w:vAlign w:val="bottom"/>
          </w:tcPr>
          <w:p>
            <w:pPr>
              <w:ind w:left="200"/>
              <w:spacing w:after="0"/>
              <w:rPr>
                <w:sz w:val="20"/>
                <w:szCs w:val="20"/>
                <w:color w:val="auto"/>
              </w:rPr>
            </w:pPr>
            <w:r>
              <w:rPr>
                <w:rFonts w:ascii="Arial" w:cs="Arial" w:eastAsia="Arial" w:hAnsi="Arial"/>
                <w:sz w:val="18"/>
                <w:szCs w:val="18"/>
                <w:color w:val="auto"/>
              </w:rPr>
              <w:t>Bargaining Agreement</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8756509</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Surety Bond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04/20/11</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04/20/12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BROTHERHOOD OF</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ELECTRICAL</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LOCAL</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NO. 474</w:t>
            </w:r>
          </w:p>
        </w:tc>
        <w:tc>
          <w:tcPr>
            <w:tcW w:w="2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8756461</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200"/>
              <w:spacing w:after="0"/>
              <w:rPr>
                <w:sz w:val="20"/>
                <w:szCs w:val="20"/>
                <w:color w:val="auto"/>
              </w:rPr>
            </w:pPr>
            <w:r>
              <w:rPr>
                <w:rFonts w:ascii="Arial" w:cs="Arial" w:eastAsia="Arial" w:hAnsi="Arial"/>
                <w:sz w:val="18"/>
                <w:szCs w:val="18"/>
                <w:color w:val="auto"/>
              </w:rPr>
              <w:t>LOCAL 98 IBEW</w:t>
            </w:r>
          </w:p>
        </w:tc>
        <w:tc>
          <w:tcPr>
            <w:tcW w:w="2160" w:type="dxa"/>
            <w:vAlign w:val="bottom"/>
          </w:tcPr>
          <w:p>
            <w:pPr>
              <w:ind w:left="200"/>
              <w:spacing w:after="0"/>
              <w:rPr>
                <w:sz w:val="20"/>
                <w:szCs w:val="20"/>
                <w:color w:val="auto"/>
              </w:rPr>
            </w:pPr>
            <w:r>
              <w:rPr>
                <w:rFonts w:ascii="Arial" w:cs="Arial" w:eastAsia="Arial" w:hAnsi="Arial"/>
                <w:sz w:val="18"/>
                <w:szCs w:val="18"/>
                <w:color w:val="auto"/>
              </w:rPr>
              <w:t>Wage (Vacation Fund)</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11/29/10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11/29/11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08719375</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LOCAL UNION NO. 24,</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 &amp; Welfare Funds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07/14/11</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BROTHERHOOD OF</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ELECTRICAL</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AFL-CIO</w:t>
            </w:r>
          </w:p>
        </w:tc>
        <w:tc>
          <w:tcPr>
            <w:tcW w:w="2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08719376</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tcPr>
          <w:p>
            <w:pPr>
              <w:ind w:left="200"/>
              <w:spacing w:after="0"/>
              <w:rPr>
                <w:sz w:val="20"/>
                <w:szCs w:val="20"/>
                <w:color w:val="auto"/>
              </w:rPr>
            </w:pPr>
            <w:r>
              <w:rPr>
                <w:rFonts w:ascii="Arial" w:cs="Arial" w:eastAsia="Arial" w:hAnsi="Arial"/>
                <w:sz w:val="18"/>
                <w:szCs w:val="18"/>
                <w:color w:val="auto"/>
              </w:rPr>
              <w:t>MARYLAND</w:t>
            </w:r>
          </w:p>
        </w:tc>
        <w:tc>
          <w:tcPr>
            <w:tcW w:w="2160" w:type="dxa"/>
            <w:vAlign w:val="bottom"/>
          </w:tcPr>
          <w:p>
            <w:pPr>
              <w:ind w:left="200"/>
              <w:spacing w:after="0"/>
              <w:rPr>
                <w:sz w:val="20"/>
                <w:szCs w:val="20"/>
                <w:color w:val="auto"/>
              </w:rPr>
            </w:pPr>
            <w:r>
              <w:rPr>
                <w:rFonts w:ascii="Arial" w:cs="Arial" w:eastAsia="Arial" w:hAnsi="Arial"/>
                <w:sz w:val="18"/>
                <w:szCs w:val="18"/>
                <w:color w:val="auto"/>
              </w:rPr>
              <w:t>Wage &amp; Welfare Funds</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07/14/11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07/14/12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tcPr>
          <w:p>
            <w:pPr>
              <w:ind w:left="200"/>
              <w:spacing w:after="0"/>
              <w:rPr>
                <w:sz w:val="20"/>
                <w:szCs w:val="20"/>
                <w:color w:val="auto"/>
              </w:rPr>
            </w:pPr>
            <w:r>
              <w:rPr>
                <w:rFonts w:ascii="Arial" w:cs="Arial" w:eastAsia="Arial" w:hAnsi="Arial"/>
                <w:sz w:val="18"/>
                <w:szCs w:val="18"/>
                <w:color w:val="auto"/>
              </w:rPr>
              <w:t>ELECTRICAL</w:t>
            </w:r>
          </w:p>
        </w:tc>
        <w:tc>
          <w:tcPr>
            <w:tcW w:w="2160" w:type="dxa"/>
            <w:vAlign w:val="bottom"/>
          </w:tcPr>
          <w:p>
            <w:pPr>
              <w:ind w:left="200"/>
              <w:spacing w:after="0"/>
              <w:rPr>
                <w:sz w:val="20"/>
                <w:szCs w:val="20"/>
                <w:color w:val="auto"/>
              </w:rPr>
            </w:pPr>
            <w:r>
              <w:rPr>
                <w:rFonts w:ascii="Arial" w:cs="Arial" w:eastAsia="Arial" w:hAnsi="Arial"/>
                <w:sz w:val="18"/>
                <w:szCs w:val="18"/>
                <w:color w:val="auto"/>
              </w:rPr>
              <w:t>Bond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tcPr>
          <w:p>
            <w:pPr>
              <w:ind w:left="200"/>
              <w:spacing w:after="0"/>
              <w:rPr>
                <w:sz w:val="20"/>
                <w:szCs w:val="20"/>
                <w:color w:val="auto"/>
              </w:rPr>
            </w:pPr>
            <w:r>
              <w:rPr>
                <w:rFonts w:ascii="Arial" w:cs="Arial" w:eastAsia="Arial" w:hAnsi="Arial"/>
                <w:sz w:val="18"/>
                <w:szCs w:val="18"/>
                <w:color w:val="auto"/>
              </w:rPr>
              <w:t>INDUSTRY FUNDS</w:t>
            </w: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5"/>
              </w:rPr>
              <w:t>LPM8756537</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TRUSTEES OF IRON</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and Pension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07/01/11</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07/01/12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DISTRICT</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COUNCIL OF</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PHILADELPHIA AND</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VICINITY BENEFIT</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2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08364717</w:t>
            </w:r>
          </w:p>
        </w:tc>
        <w:tc>
          <w:tcPr>
            <w:tcW w:w="224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80" w:type="dxa"/>
            <w:vAlign w:val="bottom"/>
          </w:tcPr>
          <w:p>
            <w:pPr>
              <w:ind w:left="200"/>
              <w:spacing w:after="0"/>
              <w:rPr>
                <w:sz w:val="20"/>
                <w:szCs w:val="20"/>
                <w:color w:val="auto"/>
              </w:rPr>
            </w:pPr>
            <w:r>
              <w:rPr>
                <w:rFonts w:ascii="Arial" w:cs="Arial" w:eastAsia="Arial" w:hAnsi="Arial"/>
                <w:sz w:val="18"/>
                <w:szCs w:val="18"/>
                <w:color w:val="auto"/>
              </w:rPr>
              <w:t>SECRETARY OF THE</w:t>
            </w:r>
          </w:p>
        </w:tc>
        <w:tc>
          <w:tcPr>
            <w:tcW w:w="2160" w:type="dxa"/>
            <w:vAlign w:val="bottom"/>
          </w:tcPr>
          <w:p>
            <w:pPr>
              <w:ind w:left="200"/>
              <w:spacing w:after="0"/>
              <w:rPr>
                <w:sz w:val="20"/>
                <w:szCs w:val="20"/>
                <w:color w:val="auto"/>
              </w:rPr>
            </w:pPr>
            <w:r>
              <w:rPr>
                <w:rFonts w:ascii="Arial" w:cs="Arial" w:eastAsia="Arial" w:hAnsi="Arial"/>
                <w:sz w:val="18"/>
                <w:szCs w:val="18"/>
                <w:color w:val="auto"/>
                <w:w w:val="93"/>
              </w:rPr>
              <w:t>Contractors License Bond</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08/25/10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DEPARTMENT OF</w:t>
            </w: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REVENUE FOR THE</w:t>
            </w: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w w:val="98"/>
              </w:rPr>
              <w:t>STATE OF LOUISIANA</w:t>
            </w: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08364718</w:t>
            </w: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TRUSTEES OF</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 and Welfare -</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$ 30,000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10/15/10</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04/30/13</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PENSION,</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indemnity guaranteeing</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WELFARE, VACATION,</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the amount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the Agreement to</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INDUSTRY AND</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be paid to the Trustees of</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SURETY Local 475</w:t>
            </w: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Steamfitters Welfare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 Local Union No.</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475, etc.</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4"/>
              <w:spacing w:after="0"/>
              <w:rPr>
                <w:sz w:val="20"/>
                <w:szCs w:val="20"/>
                <w:color w:val="auto"/>
              </w:rPr>
            </w:pPr>
            <w:r>
              <w:rPr>
                <w:rFonts w:ascii="Arial" w:cs="Arial" w:eastAsia="Arial" w:hAnsi="Arial"/>
                <w:sz w:val="18"/>
                <w:szCs w:val="18"/>
                <w:color w:val="auto"/>
              </w:rPr>
              <w:t>9009262</w:t>
            </w:r>
          </w:p>
        </w:tc>
        <w:tc>
          <w:tcPr>
            <w:tcW w:w="2240" w:type="dxa"/>
            <w:vAlign w:val="bottom"/>
          </w:tcPr>
          <w:p>
            <w:pPr>
              <w:ind w:left="160"/>
              <w:spacing w:after="0"/>
              <w:rPr>
                <w:sz w:val="20"/>
                <w:szCs w:val="20"/>
                <w:color w:val="auto"/>
              </w:rPr>
            </w:pPr>
            <w:r>
              <w:rPr>
                <w:rFonts w:ascii="Arial" w:cs="Arial" w:eastAsia="Arial" w:hAnsi="Arial"/>
                <w:sz w:val="18"/>
                <w:szCs w:val="18"/>
                <w:color w:val="auto"/>
              </w:rPr>
              <w:t>SM ELECTRIC CO., INC.</w:t>
            </w:r>
          </w:p>
        </w:tc>
        <w:tc>
          <w:tcPr>
            <w:tcW w:w="2080" w:type="dxa"/>
            <w:vAlign w:val="bottom"/>
          </w:tcPr>
          <w:p>
            <w:pPr>
              <w:ind w:left="200"/>
              <w:spacing w:after="0"/>
              <w:rPr>
                <w:sz w:val="20"/>
                <w:szCs w:val="20"/>
                <w:color w:val="auto"/>
              </w:rPr>
            </w:pPr>
            <w:r>
              <w:rPr>
                <w:rFonts w:ascii="Arial" w:cs="Arial" w:eastAsia="Arial" w:hAnsi="Arial"/>
                <w:sz w:val="18"/>
                <w:szCs w:val="18"/>
                <w:color w:val="auto"/>
              </w:rPr>
              <w:t>LOCAL UNION 400,</w:t>
            </w:r>
          </w:p>
        </w:tc>
        <w:tc>
          <w:tcPr>
            <w:tcW w:w="2160" w:type="dxa"/>
            <w:vAlign w:val="bottom"/>
          </w:tcPr>
          <w:p>
            <w:pPr>
              <w:ind w:left="200"/>
              <w:spacing w:after="0"/>
              <w:rPr>
                <w:sz w:val="20"/>
                <w:szCs w:val="20"/>
                <w:color w:val="auto"/>
              </w:rPr>
            </w:pPr>
            <w:r>
              <w:rPr>
                <w:rFonts w:ascii="Arial" w:cs="Arial" w:eastAsia="Arial" w:hAnsi="Arial"/>
                <w:sz w:val="18"/>
                <w:szCs w:val="18"/>
                <w:color w:val="auto"/>
              </w:rPr>
              <w:t>Wage &amp; Welfare</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$ 40,000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07/01/11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07/01/12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MONMOUTH-OCEAN</w:t>
            </w: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DIV NORTHERN NJ</w:t>
            </w: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CHAP</w:t>
            </w: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8" w:right="239" w:bottom="1440" w:gutter="0" w:footer="0" w:header="0"/>
        </w:sectPr>
      </w:pPr>
    </w:p>
    <w:bookmarkStart w:id="180" w:name="page181"/>
    <w:bookmarkEnd w:id="1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Aon</w:t>
            </w:r>
          </w:p>
        </w:tc>
        <w:tc>
          <w:tcPr>
            <w:tcW w:w="5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BOND</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BOND NO.</w:t>
            </w:r>
          </w:p>
        </w:tc>
        <w:tc>
          <w:tcPr>
            <w:tcW w:w="2300" w:type="dxa"/>
            <w:vAlign w:val="bottom"/>
          </w:tcPr>
          <w:p>
            <w:pPr>
              <w:ind w:left="820"/>
              <w:spacing w:after="0"/>
              <w:rPr>
                <w:sz w:val="20"/>
                <w:szCs w:val="20"/>
                <w:color w:val="auto"/>
              </w:rPr>
            </w:pPr>
            <w:r>
              <w:rPr>
                <w:rFonts w:ascii="Arial" w:cs="Arial" w:eastAsia="Arial" w:hAnsi="Arial"/>
                <w:sz w:val="14"/>
                <w:szCs w:val="14"/>
                <w:b w:val="1"/>
                <w:bCs w:val="1"/>
                <w:color w:val="auto"/>
              </w:rPr>
              <w:t>PRINCIPAL</w:t>
            </w:r>
          </w:p>
        </w:tc>
        <w:tc>
          <w:tcPr>
            <w:tcW w:w="2040" w:type="dxa"/>
            <w:vAlign w:val="bottom"/>
          </w:tcPr>
          <w:p>
            <w:pPr>
              <w:ind w:left="780"/>
              <w:spacing w:after="0"/>
              <w:rPr>
                <w:sz w:val="20"/>
                <w:szCs w:val="20"/>
                <w:color w:val="auto"/>
              </w:rPr>
            </w:pPr>
            <w:r>
              <w:rPr>
                <w:rFonts w:ascii="Arial" w:cs="Arial" w:eastAsia="Arial" w:hAnsi="Arial"/>
                <w:sz w:val="14"/>
                <w:szCs w:val="14"/>
                <w:b w:val="1"/>
                <w:bCs w:val="1"/>
                <w:color w:val="auto"/>
              </w:rPr>
              <w:t>OBLIGEE</w:t>
            </w:r>
          </w:p>
        </w:tc>
        <w:tc>
          <w:tcPr>
            <w:tcW w:w="2120" w:type="dxa"/>
            <w:vAlign w:val="bottom"/>
          </w:tcPr>
          <w:p>
            <w:pPr>
              <w:ind w:left="640"/>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AMOUNT</w:t>
            </w: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rPr>
              <w:t>EFFECTIVE</w:t>
            </w: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LPM8748702</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METROPOLITAN</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Fringes and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$ 40,000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04/26/11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04/26/12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COUNCIL</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Other Amounts Provided</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PHILADELPHIA</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Under A Collective</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AND VICINITY OF THE</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Bargaining Agreement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BROTHERHOOD OF</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CARPENTERS</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6456682</w:t>
            </w:r>
          </w:p>
        </w:tc>
        <w:tc>
          <w:tcPr>
            <w:tcW w:w="230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40"/>
              <w:spacing w:after="0"/>
              <w:rPr>
                <w:sz w:val="20"/>
                <w:szCs w:val="20"/>
                <w:color w:val="auto"/>
              </w:rPr>
            </w:pPr>
            <w:r>
              <w:rPr>
                <w:rFonts w:ascii="Arial" w:cs="Arial" w:eastAsia="Arial" w:hAnsi="Arial"/>
                <w:sz w:val="18"/>
                <w:szCs w:val="18"/>
                <w:color w:val="auto"/>
                <w:w w:val="99"/>
              </w:rPr>
              <w:t>STATE OF LOUISIANA</w:t>
            </w:r>
          </w:p>
        </w:tc>
        <w:tc>
          <w:tcPr>
            <w:tcW w:w="2120" w:type="dxa"/>
            <w:vAlign w:val="bottom"/>
          </w:tcPr>
          <w:p>
            <w:pPr>
              <w:ind w:left="180"/>
              <w:spacing w:after="0"/>
              <w:rPr>
                <w:sz w:val="20"/>
                <w:szCs w:val="20"/>
                <w:color w:val="auto"/>
              </w:rPr>
            </w:pPr>
            <w:r>
              <w:rPr>
                <w:rFonts w:ascii="Arial" w:cs="Arial" w:eastAsia="Arial" w:hAnsi="Arial"/>
                <w:sz w:val="18"/>
                <w:szCs w:val="18"/>
                <w:color w:val="auto"/>
              </w:rPr>
              <w:t>Contractor License Job</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10/30/09</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#21218183</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9009318</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STATE OF WYOMING,</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Employers Surety Bond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WC</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$ 45,000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08/30/11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08/30/12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DEPT. OF</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EMPLOYMENT</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070709002</w:t>
            </w:r>
          </w:p>
        </w:tc>
        <w:tc>
          <w:tcPr>
            <w:tcW w:w="2300" w:type="dxa"/>
            <w:vAlign w:val="bottom"/>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tcPr>
          <w:p>
            <w:pPr>
              <w:ind w:left="140"/>
              <w:spacing w:after="0"/>
              <w:rPr>
                <w:sz w:val="20"/>
                <w:szCs w:val="20"/>
                <w:color w:val="auto"/>
              </w:rPr>
            </w:pPr>
            <w:r>
              <w:rPr>
                <w:rFonts w:ascii="Arial" w:cs="Arial" w:eastAsia="Arial" w:hAnsi="Arial"/>
                <w:sz w:val="18"/>
                <w:szCs w:val="18"/>
                <w:color w:val="auto"/>
                <w:w w:val="93"/>
              </w:rPr>
              <w:t>BUREAU OF CUSTOMS</w:t>
            </w:r>
          </w:p>
        </w:tc>
        <w:tc>
          <w:tcPr>
            <w:tcW w:w="2120" w:type="dxa"/>
            <w:vAlign w:val="bottom"/>
          </w:tcPr>
          <w:p>
            <w:pPr>
              <w:ind w:left="180"/>
              <w:spacing w:after="0"/>
              <w:rPr>
                <w:sz w:val="20"/>
                <w:szCs w:val="20"/>
                <w:color w:val="auto"/>
              </w:rPr>
            </w:pPr>
            <w:r>
              <w:rPr>
                <w:rFonts w:ascii="Arial" w:cs="Arial" w:eastAsia="Arial" w:hAnsi="Arial"/>
                <w:sz w:val="18"/>
                <w:szCs w:val="18"/>
                <w:color w:val="auto"/>
              </w:rPr>
              <w:t>Importer/Broker Bond</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CU</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07/19/10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to be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AND BORDER</w:t>
            </w:r>
          </w:p>
        </w:tc>
        <w:tc>
          <w:tcPr>
            <w:tcW w:w="2120" w:type="dxa"/>
            <w:vAlign w:val="bottom"/>
          </w:tcPr>
          <w:p>
            <w:pPr>
              <w:ind w:left="180"/>
              <w:spacing w:after="0"/>
              <w:rPr>
                <w:sz w:val="20"/>
                <w:szCs w:val="20"/>
                <w:color w:val="auto"/>
              </w:rPr>
            </w:pPr>
            <w:r>
              <w:rPr>
                <w:rFonts w:ascii="Arial" w:cs="Arial" w:eastAsia="Arial" w:hAnsi="Arial"/>
                <w:sz w:val="18"/>
                <w:szCs w:val="18"/>
                <w:color w:val="auto"/>
              </w:rPr>
              <w:t>Customs #990707702</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PROTECTION</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8756507</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Wage &amp; Fringe Benefit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04/13/11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04/13/12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BROTHERHOOD OF</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ELECTRICAL</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WORKERS LOCAL</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UNION 380</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9009316</w:t>
            </w:r>
          </w:p>
        </w:tc>
        <w:tc>
          <w:tcPr>
            <w:tcW w:w="2300" w:type="dxa"/>
            <w:vAlign w:val="bottom"/>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tcPr>
          <w:p>
            <w:pPr>
              <w:ind w:left="140"/>
              <w:spacing w:after="0"/>
              <w:rPr>
                <w:sz w:val="20"/>
                <w:szCs w:val="20"/>
                <w:color w:val="auto"/>
              </w:rPr>
            </w:pPr>
            <w:r>
              <w:rPr>
                <w:rFonts w:ascii="Arial" w:cs="Arial" w:eastAsia="Arial" w:hAnsi="Arial"/>
                <w:sz w:val="18"/>
                <w:szCs w:val="18"/>
                <w:color w:val="auto"/>
                <w:w w:val="96"/>
              </w:rPr>
              <w:t>LOCAL UNION 103, MA</w:t>
            </w:r>
          </w:p>
        </w:tc>
        <w:tc>
          <w:tcPr>
            <w:tcW w:w="2120" w:type="dxa"/>
            <w:vAlign w:val="bottom"/>
          </w:tcPr>
          <w:p>
            <w:pPr>
              <w:ind w:left="18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08/18/11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08/18/12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CHAPTER</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9009312</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LOCAL UNION 126,</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Wage &amp; Welfare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08/10/11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08/10/12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PENN-DEL-JERSEY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CHAPTER</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09009210</w:t>
            </w:r>
          </w:p>
        </w:tc>
        <w:tc>
          <w:tcPr>
            <w:tcW w:w="2300" w:type="dxa"/>
            <w:vAlign w:val="bottom"/>
          </w:tcPr>
          <w:p>
            <w:pPr>
              <w:ind w:left="160"/>
              <w:spacing w:after="0"/>
              <w:rPr>
                <w:sz w:val="20"/>
                <w:szCs w:val="20"/>
                <w:color w:val="auto"/>
              </w:rPr>
            </w:pPr>
            <w:r>
              <w:rPr>
                <w:rFonts w:ascii="Arial" w:cs="Arial" w:eastAsia="Arial" w:hAnsi="Arial"/>
                <w:sz w:val="18"/>
                <w:szCs w:val="18"/>
                <w:color w:val="auto"/>
                <w:w w:val="99"/>
              </w:rPr>
              <w:t>S.M. ELECTRIC CO., INC.</w:t>
            </w:r>
          </w:p>
        </w:tc>
        <w:tc>
          <w:tcPr>
            <w:tcW w:w="2040" w:type="dxa"/>
            <w:vAlign w:val="bottom"/>
          </w:tcPr>
          <w:p>
            <w:pPr>
              <w:ind w:left="140"/>
              <w:spacing w:after="0"/>
              <w:rPr>
                <w:sz w:val="20"/>
                <w:szCs w:val="20"/>
                <w:color w:val="auto"/>
              </w:rPr>
            </w:pPr>
            <w:r>
              <w:rPr>
                <w:rFonts w:ascii="Arial" w:cs="Arial" w:eastAsia="Arial" w:hAnsi="Arial"/>
                <w:sz w:val="18"/>
                <w:szCs w:val="18"/>
                <w:color w:val="auto"/>
              </w:rPr>
              <w:t>LOCAL UNION 236,</w:t>
            </w:r>
          </w:p>
        </w:tc>
        <w:tc>
          <w:tcPr>
            <w:tcW w:w="2120" w:type="dxa"/>
            <w:vAlign w:val="bottom"/>
          </w:tcPr>
          <w:p>
            <w:pPr>
              <w:ind w:left="18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05/31/11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05/31/12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ALBANY</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9009311</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LOCAL UNION 654,</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Wage &amp; Welfare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08/10/11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08/10/12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PENN-DEL-JERSEY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CHAPTER</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08983162</w:t>
            </w:r>
          </w:p>
        </w:tc>
        <w:tc>
          <w:tcPr>
            <w:tcW w:w="2300" w:type="dxa"/>
            <w:vAlign w:val="bottom"/>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tcPr>
          <w:p>
            <w:pPr>
              <w:ind w:left="140"/>
              <w:spacing w:after="0"/>
              <w:rPr>
                <w:sz w:val="20"/>
                <w:szCs w:val="20"/>
                <w:color w:val="auto"/>
              </w:rPr>
            </w:pPr>
            <w:r>
              <w:rPr>
                <w:rFonts w:ascii="Arial" w:cs="Arial" w:eastAsia="Arial" w:hAnsi="Arial"/>
                <w:sz w:val="18"/>
                <w:szCs w:val="18"/>
                <w:color w:val="auto"/>
              </w:rPr>
              <w:t>LOCAL UNION 90, CT</w:t>
            </w:r>
          </w:p>
        </w:tc>
        <w:tc>
          <w:tcPr>
            <w:tcW w:w="2120" w:type="dxa"/>
            <w:vAlign w:val="bottom"/>
          </w:tcPr>
          <w:p>
            <w:pPr>
              <w:ind w:left="18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04/21/11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04/21/12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CHAPTER NAT’L</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ELECTRICAL CONT</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ASSOC.</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8719368</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METROPOLITAN</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Wage &amp; Welfare - Surety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07/13/11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07/13/12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COUNCIL</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 for Payment of</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PHILADELPHIA &amp;</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Fringes and Other</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VICINITY OF THE</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Provided For</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a Collective</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BROTHERHOOD OF</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Bargaining Agreement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CARPENTERS</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9026677</w:t>
            </w:r>
          </w:p>
        </w:tc>
        <w:tc>
          <w:tcPr>
            <w:tcW w:w="230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40"/>
              <w:spacing w:after="0"/>
              <w:rPr>
                <w:sz w:val="20"/>
                <w:szCs w:val="20"/>
                <w:color w:val="auto"/>
              </w:rPr>
            </w:pPr>
            <w:r>
              <w:rPr>
                <w:rFonts w:ascii="Arial" w:cs="Arial" w:eastAsia="Arial" w:hAnsi="Arial"/>
                <w:sz w:val="18"/>
                <w:szCs w:val="18"/>
                <w:color w:val="auto"/>
              </w:rPr>
              <w:t>STATE OF IOWA Lic.</w:t>
            </w:r>
          </w:p>
        </w:tc>
        <w:tc>
          <w:tcPr>
            <w:tcW w:w="2120" w:type="dxa"/>
            <w:vAlign w:val="bottom"/>
          </w:tcPr>
          <w:p>
            <w:pPr>
              <w:ind w:left="180"/>
              <w:spacing w:after="0"/>
              <w:rPr>
                <w:sz w:val="20"/>
                <w:szCs w:val="20"/>
                <w:color w:val="auto"/>
              </w:rPr>
            </w:pPr>
            <w:r>
              <w:rPr>
                <w:rFonts w:ascii="Arial" w:cs="Arial" w:eastAsia="Arial" w:hAnsi="Arial"/>
                <w:sz w:val="18"/>
                <w:szCs w:val="18"/>
                <w:color w:val="auto"/>
              </w:rPr>
              <w:t>Out-of-State Contractor</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$ 25,000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10/16/11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10/16/12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#C095804</w:t>
            </w:r>
          </w:p>
        </w:tc>
        <w:tc>
          <w:tcPr>
            <w:tcW w:w="2120" w:type="dxa"/>
            <w:vAlign w:val="bottom"/>
          </w:tcPr>
          <w:p>
            <w:pPr>
              <w:ind w:left="180"/>
              <w:spacing w:after="0"/>
              <w:rPr>
                <w:sz w:val="20"/>
                <w:szCs w:val="20"/>
                <w:color w:val="auto"/>
              </w:rPr>
            </w:pPr>
            <w:r>
              <w:rPr>
                <w:rFonts w:ascii="Arial" w:cs="Arial" w:eastAsia="Arial" w:hAnsi="Arial"/>
                <w:sz w:val="18"/>
                <w:szCs w:val="18"/>
                <w:color w:val="auto"/>
              </w:rPr>
              <w:t>Blanket Bond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9036071</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 VIRGINIA</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Wage Payment Collection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04/12/11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04/12/12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DIVISION OF LABOR</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Surety Bond</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9036073</w:t>
            </w:r>
          </w:p>
        </w:tc>
        <w:tc>
          <w:tcPr>
            <w:tcW w:w="230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40"/>
              <w:spacing w:after="0"/>
              <w:rPr>
                <w:sz w:val="20"/>
                <w:szCs w:val="20"/>
                <w:color w:val="auto"/>
              </w:rPr>
            </w:pPr>
            <w:r>
              <w:rPr>
                <w:rFonts w:ascii="Arial" w:cs="Arial" w:eastAsia="Arial" w:hAnsi="Arial"/>
                <w:sz w:val="18"/>
                <w:szCs w:val="18"/>
                <w:color w:val="auto"/>
              </w:rPr>
              <w:t>WEST VIRGINIA</w:t>
            </w:r>
          </w:p>
        </w:tc>
        <w:tc>
          <w:tcPr>
            <w:tcW w:w="2120" w:type="dxa"/>
            <w:vAlign w:val="bottom"/>
          </w:tcPr>
          <w:p>
            <w:pPr>
              <w:ind w:left="180"/>
              <w:spacing w:after="0"/>
              <w:rPr>
                <w:sz w:val="20"/>
                <w:szCs w:val="20"/>
                <w:color w:val="auto"/>
              </w:rPr>
            </w:pPr>
            <w:r>
              <w:rPr>
                <w:rFonts w:ascii="Arial" w:cs="Arial" w:eastAsia="Arial" w:hAnsi="Arial"/>
                <w:sz w:val="18"/>
                <w:szCs w:val="18"/>
                <w:color w:val="auto"/>
                <w:w w:val="92"/>
              </w:rPr>
              <w:t>Wage Payment Collection</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04/12/11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04/12/12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ind w:left="140"/>
              <w:spacing w:after="0"/>
              <w:rPr>
                <w:sz w:val="20"/>
                <w:szCs w:val="20"/>
                <w:color w:val="auto"/>
              </w:rPr>
            </w:pPr>
            <w:r>
              <w:rPr>
                <w:rFonts w:ascii="Arial" w:cs="Arial" w:eastAsia="Arial" w:hAnsi="Arial"/>
                <w:sz w:val="18"/>
                <w:szCs w:val="18"/>
                <w:color w:val="auto"/>
              </w:rPr>
              <w:t>DIVISION OF LABOR</w:t>
            </w:r>
          </w:p>
        </w:tc>
        <w:tc>
          <w:tcPr>
            <w:tcW w:w="2120" w:type="dxa"/>
            <w:vAlign w:val="bottom"/>
          </w:tcPr>
          <w:p>
            <w:pPr>
              <w:ind w:left="180"/>
              <w:spacing w:after="0"/>
              <w:rPr>
                <w:sz w:val="20"/>
                <w:szCs w:val="20"/>
                <w:color w:val="auto"/>
              </w:rPr>
            </w:pPr>
            <w:r>
              <w:rPr>
                <w:rFonts w:ascii="Arial" w:cs="Arial" w:eastAsia="Arial" w:hAnsi="Arial"/>
                <w:sz w:val="18"/>
                <w:szCs w:val="18"/>
                <w:color w:val="auto"/>
              </w:rPr>
              <w:t>Surety Bond</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9036072</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 VIRGINIA</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Wage Payment Collection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04/12/11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04/12/12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DIVISION OF LABOR</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Surety Bond</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9026629</w:t>
            </w:r>
          </w:p>
        </w:tc>
        <w:tc>
          <w:tcPr>
            <w:tcW w:w="230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40"/>
              <w:spacing w:after="0"/>
              <w:rPr>
                <w:sz w:val="20"/>
                <w:szCs w:val="20"/>
                <w:color w:val="auto"/>
              </w:rPr>
            </w:pPr>
            <w:r>
              <w:rPr>
                <w:rFonts w:ascii="Arial" w:cs="Arial" w:eastAsia="Arial" w:hAnsi="Arial"/>
                <w:sz w:val="18"/>
                <w:szCs w:val="18"/>
                <w:color w:val="auto"/>
                <w:w w:val="93"/>
              </w:rPr>
              <w:t>STATE OF NEVADA Lic.</w:t>
            </w:r>
          </w:p>
        </w:tc>
        <w:tc>
          <w:tcPr>
            <w:tcW w:w="2120" w:type="dxa"/>
            <w:vAlign w:val="bottom"/>
          </w:tcPr>
          <w:p>
            <w:pPr>
              <w:ind w:left="180"/>
              <w:spacing w:after="0"/>
              <w:rPr>
                <w:sz w:val="20"/>
                <w:szCs w:val="20"/>
                <w:color w:val="auto"/>
              </w:rPr>
            </w:pPr>
            <w:r>
              <w:rPr>
                <w:rFonts w:ascii="Arial" w:cs="Arial" w:eastAsia="Arial" w:hAnsi="Arial"/>
                <w:sz w:val="18"/>
                <w:szCs w:val="18"/>
                <w:color w:val="auto"/>
                <w:w w:val="95"/>
              </w:rPr>
              <w:t>Contractor’s Surety Bond</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11/27/10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11/27/11</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ind w:left="140"/>
              <w:spacing w:after="0"/>
              <w:rPr>
                <w:sz w:val="20"/>
                <w:szCs w:val="20"/>
                <w:color w:val="auto"/>
              </w:rPr>
            </w:pPr>
            <w:r>
              <w:rPr>
                <w:rFonts w:ascii="Arial" w:cs="Arial" w:eastAsia="Arial" w:hAnsi="Arial"/>
                <w:sz w:val="18"/>
                <w:szCs w:val="18"/>
                <w:color w:val="auto"/>
              </w:rPr>
              <w:t>#53129</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9026672</w:t>
            </w: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OF NEVADA</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Contractors’ License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LP</w:t>
            </w: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10/15/10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DBA ENVIRONMENTAL</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PROTECTION SERVICES</w:t>
            </w: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8756502</w:t>
            </w:r>
          </w:p>
        </w:tc>
        <w:tc>
          <w:tcPr>
            <w:tcW w:w="230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40"/>
              <w:spacing w:after="0"/>
              <w:rPr>
                <w:sz w:val="20"/>
                <w:szCs w:val="20"/>
                <w:color w:val="auto"/>
              </w:rPr>
            </w:pPr>
            <w:r>
              <w:rPr>
                <w:rFonts w:ascii="Arial" w:cs="Arial" w:eastAsia="Arial" w:hAnsi="Arial"/>
                <w:sz w:val="18"/>
                <w:szCs w:val="18"/>
                <w:color w:val="auto"/>
              </w:rPr>
              <w:t>IBEW LOCAL UNION</w:t>
            </w:r>
          </w:p>
        </w:tc>
        <w:tc>
          <w:tcPr>
            <w:tcW w:w="2120" w:type="dxa"/>
            <w:vAlign w:val="bottom"/>
          </w:tcPr>
          <w:p>
            <w:pPr>
              <w:ind w:left="180"/>
              <w:spacing w:after="0"/>
              <w:rPr>
                <w:sz w:val="20"/>
                <w:szCs w:val="20"/>
                <w:color w:val="auto"/>
              </w:rPr>
            </w:pPr>
            <w:r>
              <w:rPr>
                <w:rFonts w:ascii="Arial" w:cs="Arial" w:eastAsia="Arial" w:hAnsi="Arial"/>
                <w:sz w:val="18"/>
                <w:szCs w:val="18"/>
                <w:color w:val="auto"/>
              </w:rPr>
              <w:t>Employee Benefit Fund</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WW</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$ 60,000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03/11/11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03/11/12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ind w:left="140"/>
              <w:spacing w:after="0"/>
              <w:rPr>
                <w:sz w:val="20"/>
                <w:szCs w:val="20"/>
                <w:color w:val="auto"/>
              </w:rPr>
            </w:pPr>
            <w:r>
              <w:rPr>
                <w:rFonts w:ascii="Arial" w:cs="Arial" w:eastAsia="Arial" w:hAnsi="Arial"/>
                <w:sz w:val="18"/>
                <w:szCs w:val="18"/>
                <w:color w:val="auto"/>
              </w:rPr>
              <w:t>NO. 102</w:t>
            </w:r>
          </w:p>
        </w:tc>
        <w:tc>
          <w:tcPr>
            <w:tcW w:w="2120" w:type="dxa"/>
            <w:vAlign w:val="bottom"/>
          </w:tcPr>
          <w:p>
            <w:pPr>
              <w:ind w:left="180"/>
              <w:spacing w:after="0"/>
              <w:rPr>
                <w:sz w:val="20"/>
                <w:szCs w:val="20"/>
                <w:color w:val="auto"/>
              </w:rPr>
            </w:pPr>
            <w:r>
              <w:rPr>
                <w:rFonts w:ascii="Arial" w:cs="Arial" w:eastAsia="Arial" w:hAnsi="Arial"/>
                <w:sz w:val="18"/>
                <w:szCs w:val="18"/>
                <w:color w:val="auto"/>
              </w:rPr>
              <w:t>Contributions,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tcPr>
          <w:p>
            <w:pPr>
              <w:spacing w:after="0"/>
              <w:rPr>
                <w:sz w:val="19"/>
                <w:szCs w:val="19"/>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Deductions and Wages</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064" w:gutter="0" w:footer="0" w:header="0"/>
        </w:sectPr>
      </w:pPr>
    </w:p>
    <w:bookmarkStart w:id="181" w:name="page182"/>
    <w:bookmarkEnd w:id="1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Aon</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BOND</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BOND NO.</w:t>
            </w:r>
          </w:p>
        </w:tc>
        <w:tc>
          <w:tcPr>
            <w:tcW w:w="2260" w:type="dxa"/>
            <w:vAlign w:val="bottom"/>
          </w:tcPr>
          <w:p>
            <w:pPr>
              <w:ind w:left="780"/>
              <w:spacing w:after="0"/>
              <w:rPr>
                <w:sz w:val="20"/>
                <w:szCs w:val="20"/>
                <w:color w:val="auto"/>
              </w:rPr>
            </w:pPr>
            <w:r>
              <w:rPr>
                <w:rFonts w:ascii="Arial" w:cs="Arial" w:eastAsia="Arial" w:hAnsi="Arial"/>
                <w:sz w:val="14"/>
                <w:szCs w:val="14"/>
                <w:b w:val="1"/>
                <w:bCs w:val="1"/>
                <w:color w:val="auto"/>
              </w:rPr>
              <w:t>PRINCIPAL</w:t>
            </w:r>
          </w:p>
        </w:tc>
        <w:tc>
          <w:tcPr>
            <w:tcW w:w="2040" w:type="dxa"/>
            <w:vAlign w:val="bottom"/>
          </w:tcPr>
          <w:p>
            <w:pPr>
              <w:ind w:left="740"/>
              <w:spacing w:after="0"/>
              <w:rPr>
                <w:sz w:val="20"/>
                <w:szCs w:val="20"/>
                <w:color w:val="auto"/>
              </w:rPr>
            </w:pPr>
            <w:r>
              <w:rPr>
                <w:rFonts w:ascii="Arial" w:cs="Arial" w:eastAsia="Arial" w:hAnsi="Arial"/>
                <w:sz w:val="14"/>
                <w:szCs w:val="14"/>
                <w:b w:val="1"/>
                <w:bCs w:val="1"/>
                <w:color w:val="auto"/>
              </w:rPr>
              <w:t>OBLIGEE</w:t>
            </w:r>
          </w:p>
        </w:tc>
        <w:tc>
          <w:tcPr>
            <w:tcW w:w="2120" w:type="dxa"/>
            <w:vAlign w:val="bottom"/>
          </w:tcPr>
          <w:p>
            <w:pPr>
              <w:ind w:left="620"/>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9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93"/>
              <w:spacing w:after="0"/>
              <w:rPr>
                <w:sz w:val="20"/>
                <w:szCs w:val="20"/>
                <w:color w:val="auto"/>
              </w:rPr>
            </w:pPr>
            <w:r>
              <w:rPr>
                <w:rFonts w:ascii="Arial" w:cs="Arial" w:eastAsia="Arial" w:hAnsi="Arial"/>
                <w:sz w:val="14"/>
                <w:szCs w:val="14"/>
                <w:b w:val="1"/>
                <w:bCs w:val="1"/>
                <w:color w:val="auto"/>
              </w:rPr>
              <w:t>EFFECTIVE</w:t>
            </w: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6477421</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LOCAL UNION 229,</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 &amp; Welfare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01/28/11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01/28/12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YORK DIV.</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9026689</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00"/>
              <w:spacing w:after="0"/>
              <w:rPr>
                <w:sz w:val="20"/>
                <w:szCs w:val="20"/>
                <w:color w:val="auto"/>
              </w:rPr>
            </w:pPr>
            <w:r>
              <w:rPr>
                <w:rFonts w:ascii="Arial" w:cs="Arial" w:eastAsia="Arial" w:hAnsi="Arial"/>
                <w:sz w:val="18"/>
                <w:szCs w:val="18"/>
                <w:color w:val="auto"/>
              </w:rPr>
              <w:t>PLUMBERS &amp;</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11/17/10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11/17/11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ind w:left="100"/>
              <w:spacing w:after="0"/>
              <w:rPr>
                <w:sz w:val="20"/>
                <w:szCs w:val="20"/>
                <w:color w:val="auto"/>
              </w:rPr>
            </w:pPr>
            <w:r>
              <w:rPr>
                <w:rFonts w:ascii="Arial" w:cs="Arial" w:eastAsia="Arial" w:hAnsi="Arial"/>
                <w:sz w:val="18"/>
                <w:szCs w:val="18"/>
                <w:color w:val="auto"/>
                <w:w w:val="94"/>
              </w:rPr>
              <w:t>PIPEFITTERS UNION 74</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CLAYMONT, DE</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9009263</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LOCAL UNION 363,</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 &amp; Welfare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07/01/11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07/01/12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HUDSON VALLEY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CHAPTER, NY</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09009225</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00"/>
              <w:spacing w:after="0"/>
              <w:rPr>
                <w:sz w:val="20"/>
                <w:szCs w:val="20"/>
                <w:color w:val="auto"/>
              </w:rPr>
            </w:pPr>
            <w:r>
              <w:rPr>
                <w:rFonts w:ascii="Arial" w:cs="Arial" w:eastAsia="Arial" w:hAnsi="Arial"/>
                <w:sz w:val="18"/>
                <w:szCs w:val="18"/>
                <w:color w:val="auto"/>
                <w:w w:val="99"/>
              </w:rPr>
              <w:t>I.B.E.W. LOCAL UNION</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 Bond</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67,000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06/22/11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06/22/12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126</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929461573</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BRADLEY SCOTT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OF OREGON</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Contractors License Bond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08/10/09</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VETAL, MICHAEL</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Petroleum Storage Tank</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JAMES HALL, JAMES P.</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Erection/Repair, Job</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RYAN &amp; CHARLES B.</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#2122627; Location of</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BREWER, MATRIX</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 St. James, LA</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INC. &amp;</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 SERVICE</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 DBA</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INDUSTRA/MATRIX</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9009400</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00"/>
              <w:spacing w:after="0"/>
              <w:rPr>
                <w:sz w:val="20"/>
                <w:szCs w:val="20"/>
                <w:color w:val="auto"/>
              </w:rPr>
            </w:pPr>
            <w:r>
              <w:rPr>
                <w:rFonts w:ascii="Arial" w:cs="Arial" w:eastAsia="Arial" w:hAnsi="Arial"/>
                <w:sz w:val="18"/>
                <w:szCs w:val="18"/>
                <w:color w:val="auto"/>
                <w:w w:val="93"/>
              </w:rPr>
              <w:t>STATE OF OREGON Lic.</w:t>
            </w: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Contractor’s License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75,000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06/16/11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06/16/12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#137501</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929461572/</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MATRIX SERVICE INC. &amp;</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OF OREGON</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Construction Contractor’s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9009265</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 SERVICE</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Surety Bond</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7/19/2010</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 DBA</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INDUSTRA/MATRIX</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08983161</w:t>
            </w:r>
          </w:p>
        </w:tc>
        <w:tc>
          <w:tcPr>
            <w:tcW w:w="2260" w:type="dxa"/>
            <w:vAlign w:val="bottom"/>
          </w:tcPr>
          <w:p>
            <w:pPr>
              <w:ind w:left="160"/>
              <w:spacing w:after="0"/>
              <w:rPr>
                <w:sz w:val="20"/>
                <w:szCs w:val="20"/>
                <w:color w:val="auto"/>
              </w:rPr>
            </w:pPr>
            <w:r>
              <w:rPr>
                <w:rFonts w:ascii="Arial" w:cs="Arial" w:eastAsia="Arial" w:hAnsi="Arial"/>
                <w:sz w:val="18"/>
                <w:szCs w:val="18"/>
                <w:color w:val="auto"/>
              </w:rPr>
              <w:t>SM ELECTRIC CO., INC.</w:t>
            </w:r>
          </w:p>
        </w:tc>
        <w:tc>
          <w:tcPr>
            <w:tcW w:w="2040" w:type="dxa"/>
            <w:vAlign w:val="bottom"/>
          </w:tcPr>
          <w:p>
            <w:pPr>
              <w:ind w:left="100"/>
              <w:spacing w:after="0"/>
              <w:rPr>
                <w:sz w:val="20"/>
                <w:szCs w:val="20"/>
                <w:color w:val="auto"/>
              </w:rPr>
            </w:pPr>
            <w:r>
              <w:rPr>
                <w:rFonts w:ascii="Arial" w:cs="Arial" w:eastAsia="Arial" w:hAnsi="Arial"/>
                <w:sz w:val="18"/>
                <w:szCs w:val="18"/>
                <w:color w:val="auto"/>
              </w:rPr>
              <w:t>LOCAL UNION 488, CT</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90,000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04/10/11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04/10/12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CHAPTER</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9009314</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MATRIX SERVICES,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OF ARIZONA</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Bond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08/15/11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08/15/12</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#ROC168365</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08983163</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00"/>
              <w:spacing w:after="0"/>
              <w:rPr>
                <w:sz w:val="20"/>
                <w:szCs w:val="20"/>
                <w:color w:val="auto"/>
              </w:rPr>
            </w:pPr>
            <w:r>
              <w:rPr>
                <w:rFonts w:ascii="Arial" w:cs="Arial" w:eastAsia="Arial" w:hAnsi="Arial"/>
                <w:sz w:val="18"/>
                <w:szCs w:val="18"/>
                <w:color w:val="auto"/>
              </w:rPr>
              <w:t>STATE OF LOUISIANA</w:t>
            </w:r>
          </w:p>
        </w:tc>
        <w:tc>
          <w:tcPr>
            <w:tcW w:w="2120" w:type="dxa"/>
            <w:vAlign w:val="bottom"/>
          </w:tcPr>
          <w:p>
            <w:pPr>
              <w:ind w:left="160"/>
              <w:spacing w:after="0"/>
              <w:rPr>
                <w:sz w:val="20"/>
                <w:szCs w:val="20"/>
                <w:color w:val="auto"/>
              </w:rPr>
            </w:pPr>
            <w:r>
              <w:rPr>
                <w:rFonts w:ascii="Arial" w:cs="Arial" w:eastAsia="Arial" w:hAnsi="Arial"/>
                <w:sz w:val="18"/>
                <w:szCs w:val="18"/>
                <w:color w:val="auto"/>
              </w:rPr>
              <w:t>Contractor License Job</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03/10/10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#22113560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09009224</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I.B.E.W. LOCAL UNION</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 &amp; Welfare Bond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6"/>
              </w:rPr>
              <w:t>100,000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06/21/11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06/21/12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126</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8720283</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00"/>
              <w:spacing w:after="0"/>
              <w:rPr>
                <w:sz w:val="20"/>
                <w:szCs w:val="20"/>
                <w:color w:val="auto"/>
              </w:rPr>
            </w:pPr>
            <w:r>
              <w:rPr>
                <w:rFonts w:ascii="Arial" w:cs="Arial" w:eastAsia="Arial" w:hAnsi="Arial"/>
                <w:sz w:val="18"/>
                <w:szCs w:val="18"/>
                <w:color w:val="auto"/>
              </w:rPr>
              <w:t>LOCAL UNION #322</w:t>
            </w:r>
          </w:p>
        </w:tc>
        <w:tc>
          <w:tcPr>
            <w:tcW w:w="2120" w:type="dxa"/>
            <w:vAlign w:val="bottom"/>
          </w:tcPr>
          <w:p>
            <w:pPr>
              <w:ind w:left="160"/>
              <w:spacing w:after="0"/>
              <w:rPr>
                <w:sz w:val="20"/>
                <w:szCs w:val="20"/>
                <w:color w:val="auto"/>
              </w:rPr>
            </w:pPr>
            <w:r>
              <w:rPr>
                <w:rFonts w:ascii="Arial" w:cs="Arial" w:eastAsia="Arial" w:hAnsi="Arial"/>
                <w:sz w:val="18"/>
                <w:szCs w:val="18"/>
                <w:color w:val="auto"/>
              </w:rPr>
              <w:t>Wage &amp;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86"/>
              </w:rPr>
              <w:t>110,000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11/12/10</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11/12/11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LPM8748704</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Wage Welfare &amp; Fringes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6"/>
              </w:rPr>
              <w:t>120,000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05/10/11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05/10/12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BROTHERHOOD OF</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Bond (400)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WORKERS LOCAL #400</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rPr>
              <w:t>08719365</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00"/>
              <w:spacing w:after="0"/>
              <w:rPr>
                <w:sz w:val="20"/>
                <w:szCs w:val="20"/>
                <w:color w:val="auto"/>
              </w:rPr>
            </w:pPr>
            <w:r>
              <w:rPr>
                <w:rFonts w:ascii="Arial" w:cs="Arial" w:eastAsia="Arial" w:hAnsi="Arial"/>
                <w:sz w:val="18"/>
                <w:szCs w:val="18"/>
                <w:color w:val="auto"/>
              </w:rPr>
              <w:t>LOCAL 98 IBEW</w:t>
            </w:r>
          </w:p>
        </w:tc>
        <w:tc>
          <w:tcPr>
            <w:tcW w:w="2120" w:type="dxa"/>
            <w:vAlign w:val="bottom"/>
          </w:tcPr>
          <w:p>
            <w:pPr>
              <w:ind w:left="160"/>
              <w:spacing w:after="0"/>
              <w:rPr>
                <w:sz w:val="20"/>
                <w:szCs w:val="20"/>
                <w:color w:val="auto"/>
              </w:rPr>
            </w:pPr>
            <w:r>
              <w:rPr>
                <w:rFonts w:ascii="Arial" w:cs="Arial" w:eastAsia="Arial" w:hAnsi="Arial"/>
                <w:sz w:val="18"/>
                <w:szCs w:val="18"/>
                <w:color w:val="auto"/>
                <w:w w:val="95"/>
              </w:rPr>
              <w:t>Wage and Welfare Funds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86"/>
              </w:rPr>
              <w:t>125,000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06/17/11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06/17/12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Bond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8719370</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Wage and Welfare Funds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6"/>
              </w:rPr>
              <w:t>140,000</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07/13/11</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07/13/12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BROTHERHOOD OF</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Bond</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CONTRACTORS,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WORKERS LOCAL</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UNION 351</w:t>
            </w:r>
          </w:p>
        </w:tc>
        <w:tc>
          <w:tcPr>
            <w:tcW w:w="2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180" w:type="dxa"/>
            <w:vAlign w:val="bottom"/>
          </w:tcPr>
          <w:p>
            <w:pPr>
              <w:jc w:val="right"/>
              <w:ind w:right="53"/>
              <w:spacing w:after="0"/>
              <w:rPr>
                <w:sz w:val="20"/>
                <w:szCs w:val="20"/>
                <w:color w:val="auto"/>
              </w:rPr>
            </w:pPr>
            <w:r>
              <w:rPr>
                <w:rFonts w:ascii="Arial" w:cs="Arial" w:eastAsia="Arial" w:hAnsi="Arial"/>
                <w:sz w:val="18"/>
                <w:szCs w:val="18"/>
                <w:color w:val="auto"/>
                <w:w w:val="95"/>
              </w:rPr>
              <w:t>LPM8756503</w:t>
            </w:r>
          </w:p>
        </w:tc>
        <w:tc>
          <w:tcPr>
            <w:tcW w:w="2260" w:type="dxa"/>
            <w:vAlign w:val="bottom"/>
          </w:tcPr>
          <w:p>
            <w:pPr>
              <w:ind w:left="160"/>
              <w:spacing w:after="0"/>
              <w:rPr>
                <w:sz w:val="20"/>
                <w:szCs w:val="20"/>
                <w:color w:val="auto"/>
              </w:rPr>
            </w:pPr>
            <w:r>
              <w:rPr>
                <w:rFonts w:ascii="Arial" w:cs="Arial" w:eastAsia="Arial" w:hAnsi="Arial"/>
                <w:sz w:val="18"/>
                <w:szCs w:val="18"/>
                <w:color w:val="auto"/>
              </w:rPr>
              <w:t>MATRIX SERVICE</w:t>
            </w:r>
          </w:p>
        </w:tc>
        <w:tc>
          <w:tcPr>
            <w:tcW w:w="204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2120" w:type="dxa"/>
            <w:vAlign w:val="bottom"/>
          </w:tcPr>
          <w:p>
            <w:pPr>
              <w:ind w:left="160"/>
              <w:spacing w:after="0"/>
              <w:rPr>
                <w:sz w:val="20"/>
                <w:szCs w:val="20"/>
                <w:color w:val="auto"/>
              </w:rPr>
            </w:pPr>
            <w:r>
              <w:rPr>
                <w:rFonts w:ascii="Arial" w:cs="Arial" w:eastAsia="Arial" w:hAnsi="Arial"/>
                <w:sz w:val="18"/>
                <w:szCs w:val="18"/>
                <w:color w:val="auto"/>
              </w:rPr>
              <w:t>Pension, Welfare,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86"/>
              </w:rPr>
              <w:t>150,000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03/16/11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03/16/12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SPECIALIZED</w:t>
            </w:r>
          </w:p>
        </w:tc>
        <w:tc>
          <w:tcPr>
            <w:tcW w:w="2040" w:type="dxa"/>
            <w:vAlign w:val="bottom"/>
          </w:tcPr>
          <w:p>
            <w:pPr>
              <w:ind w:left="100"/>
              <w:spacing w:after="0"/>
              <w:rPr>
                <w:sz w:val="20"/>
                <w:szCs w:val="20"/>
                <w:color w:val="auto"/>
              </w:rPr>
            </w:pPr>
            <w:r>
              <w:rPr>
                <w:rFonts w:ascii="Arial" w:cs="Arial" w:eastAsia="Arial" w:hAnsi="Arial"/>
                <w:sz w:val="18"/>
                <w:szCs w:val="18"/>
                <w:color w:val="auto"/>
              </w:rPr>
              <w:t>ENGINEERS LOCAL</w:t>
            </w:r>
          </w:p>
        </w:tc>
        <w:tc>
          <w:tcPr>
            <w:tcW w:w="2120" w:type="dxa"/>
            <w:vAlign w:val="bottom"/>
          </w:tcPr>
          <w:p>
            <w:pPr>
              <w:ind w:left="160"/>
              <w:spacing w:after="0"/>
              <w:rPr>
                <w:sz w:val="20"/>
                <w:szCs w:val="20"/>
                <w:color w:val="auto"/>
              </w:rPr>
            </w:pPr>
            <w:r>
              <w:rPr>
                <w:rFonts w:ascii="Arial" w:cs="Arial" w:eastAsia="Arial" w:hAnsi="Arial"/>
                <w:sz w:val="18"/>
                <w:szCs w:val="18"/>
                <w:color w:val="auto"/>
              </w:rPr>
              <w:t>Annuity, Apprenticeship</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TRANSPORT, INC.</w:t>
            </w:r>
          </w:p>
        </w:tc>
        <w:tc>
          <w:tcPr>
            <w:tcW w:w="2040" w:type="dxa"/>
            <w:vAlign w:val="bottom"/>
          </w:tcPr>
          <w:p>
            <w:pPr>
              <w:ind w:left="100"/>
              <w:spacing w:after="0"/>
              <w:rPr>
                <w:sz w:val="20"/>
                <w:szCs w:val="20"/>
                <w:color w:val="auto"/>
              </w:rPr>
            </w:pPr>
            <w:r>
              <w:rPr>
                <w:rFonts w:ascii="Arial" w:cs="Arial" w:eastAsia="Arial" w:hAnsi="Arial"/>
                <w:sz w:val="18"/>
                <w:szCs w:val="18"/>
                <w:color w:val="auto"/>
              </w:rPr>
              <w:t>825</w:t>
            </w:r>
          </w:p>
        </w:tc>
        <w:tc>
          <w:tcPr>
            <w:tcW w:w="2120" w:type="dxa"/>
            <w:vAlign w:val="bottom"/>
          </w:tcPr>
          <w:p>
            <w:pPr>
              <w:ind w:left="160"/>
              <w:spacing w:after="0"/>
              <w:rPr>
                <w:sz w:val="20"/>
                <w:szCs w:val="20"/>
                <w:color w:val="auto"/>
              </w:rPr>
            </w:pPr>
            <w:r>
              <w:rPr>
                <w:rFonts w:ascii="Arial" w:cs="Arial" w:eastAsia="Arial" w:hAnsi="Arial"/>
                <w:sz w:val="18"/>
                <w:szCs w:val="18"/>
                <w:color w:val="auto"/>
              </w:rPr>
              <w:t>Training, Supplemental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Unemployment Benefit,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and Vacation Funds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08364720</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MATRIX SERVICE INC</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SECRETARY OF THE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Contractors License Bond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11/26/10</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 flat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DEPARTMENT OF</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Petroleum Storage Tank</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 FOR THE</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Erection/Repair, Job</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OF LOUISIANA</w:t>
            </w: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#22113610; Ocation of</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 Houma, LA</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522" w:gutter="0" w:footer="0" w:header="0"/>
        </w:sectPr>
      </w:pPr>
    </w:p>
    <w:bookmarkStart w:id="182" w:name="page183"/>
    <w:bookmarkEnd w:id="1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4"/>
                <w:szCs w:val="14"/>
                <w:color w:val="auto"/>
              </w:rPr>
              <w:t>Aon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BOND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6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BOND NO.</w:t>
            </w:r>
          </w:p>
        </w:tc>
        <w:tc>
          <w:tcPr>
            <w:tcW w:w="2400" w:type="dxa"/>
            <w:vAlign w:val="bottom"/>
          </w:tcPr>
          <w:p>
            <w:pPr>
              <w:ind w:left="880"/>
              <w:spacing w:after="0"/>
              <w:rPr>
                <w:sz w:val="20"/>
                <w:szCs w:val="20"/>
                <w:color w:val="auto"/>
              </w:rPr>
            </w:pPr>
            <w:r>
              <w:rPr>
                <w:rFonts w:ascii="Arial" w:cs="Arial" w:eastAsia="Arial" w:hAnsi="Arial"/>
                <w:sz w:val="14"/>
                <w:szCs w:val="14"/>
                <w:b w:val="1"/>
                <w:bCs w:val="1"/>
                <w:color w:val="auto"/>
              </w:rPr>
              <w:t>PRINCIPAL</w:t>
            </w:r>
          </w:p>
        </w:tc>
        <w:tc>
          <w:tcPr>
            <w:tcW w:w="2240" w:type="dxa"/>
            <w:vAlign w:val="bottom"/>
          </w:tcPr>
          <w:p>
            <w:pPr>
              <w:ind w:left="860"/>
              <w:spacing w:after="0"/>
              <w:rPr>
                <w:sz w:val="20"/>
                <w:szCs w:val="20"/>
                <w:color w:val="auto"/>
              </w:rPr>
            </w:pPr>
            <w:r>
              <w:rPr>
                <w:rFonts w:ascii="Arial" w:cs="Arial" w:eastAsia="Arial" w:hAnsi="Arial"/>
                <w:sz w:val="14"/>
                <w:szCs w:val="14"/>
                <w:b w:val="1"/>
                <w:bCs w:val="1"/>
                <w:color w:val="auto"/>
              </w:rPr>
              <w:t>OBLIGEE</w:t>
            </w:r>
          </w:p>
        </w:tc>
        <w:tc>
          <w:tcPr>
            <w:tcW w:w="222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160" w:type="dxa"/>
            <w:vAlign w:val="bottom"/>
          </w:tcPr>
          <w:p>
            <w:pPr>
              <w:spacing w:after="0"/>
              <w:rPr>
                <w:sz w:val="15"/>
                <w:szCs w:val="15"/>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rPr>
              <w:t>EFFECTIVE</w:t>
            </w: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08364721</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 INC</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SECRETARY OF THE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Contractors License Bond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11/26/10</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DEPARTMENT OF</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Petroleum Storage Tank</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flat</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FOR THE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Erection/Repair, Job</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OF LOUISIANA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#22113611; Location of</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contract - Houma, LA</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rPr>
              <w:t>8364703</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SERVICE INC.</w:t>
            </w:r>
          </w:p>
        </w:tc>
        <w:tc>
          <w:tcPr>
            <w:tcW w:w="2240" w:type="dxa"/>
            <w:vAlign w:val="bottom"/>
          </w:tcPr>
          <w:p>
            <w:pPr>
              <w:ind w:left="120"/>
              <w:spacing w:after="0"/>
              <w:rPr>
                <w:sz w:val="20"/>
                <w:szCs w:val="20"/>
                <w:color w:val="auto"/>
              </w:rPr>
            </w:pPr>
            <w:r>
              <w:rPr>
                <w:rFonts w:ascii="Arial" w:cs="Arial" w:eastAsia="Arial" w:hAnsi="Arial"/>
                <w:sz w:val="18"/>
                <w:szCs w:val="18"/>
                <w:color w:val="auto"/>
              </w:rPr>
              <w:t>SECRETARY OF THE</w:t>
            </w:r>
          </w:p>
        </w:tc>
        <w:tc>
          <w:tcPr>
            <w:tcW w:w="2220" w:type="dxa"/>
            <w:vAlign w:val="bottom"/>
          </w:tcPr>
          <w:p>
            <w:pPr>
              <w:ind w:left="80"/>
              <w:spacing w:after="0"/>
              <w:rPr>
                <w:sz w:val="20"/>
                <w:szCs w:val="20"/>
                <w:color w:val="auto"/>
              </w:rPr>
            </w:pPr>
            <w:r>
              <w:rPr>
                <w:rFonts w:ascii="Arial" w:cs="Arial" w:eastAsia="Arial" w:hAnsi="Arial"/>
                <w:sz w:val="18"/>
                <w:szCs w:val="18"/>
                <w:color w:val="auto"/>
                <w:w w:val="99"/>
              </w:rPr>
              <w:t>Contractors License Plains</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LP</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01/26/10</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DEPARTMENT OF</w:t>
            </w:r>
          </w:p>
        </w:tc>
        <w:tc>
          <w:tcPr>
            <w:tcW w:w="2220" w:type="dxa"/>
            <w:vAlign w:val="bottom"/>
          </w:tcPr>
          <w:p>
            <w:pPr>
              <w:ind w:left="80"/>
              <w:spacing w:after="0"/>
              <w:rPr>
                <w:sz w:val="20"/>
                <w:szCs w:val="20"/>
                <w:color w:val="auto"/>
              </w:rPr>
            </w:pPr>
            <w:r>
              <w:rPr>
                <w:rFonts w:ascii="Arial" w:cs="Arial" w:eastAsia="Arial" w:hAnsi="Arial"/>
                <w:sz w:val="18"/>
                <w:szCs w:val="18"/>
                <w:color w:val="auto"/>
              </w:rPr>
              <w:t>Bond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flat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REVENUE FOR THE</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STATE OF LOUISIANA</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08983160</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SM ELECTRIC CO., INC.</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 UNION 351,</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03/08/11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03/08/12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SOUTHERN DIV</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SOUTHERN NJ CHAPTER</w:t>
            </w: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08983151</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SERVICE INC.</w:t>
            </w:r>
          </w:p>
        </w:tc>
        <w:tc>
          <w:tcPr>
            <w:tcW w:w="2240" w:type="dxa"/>
            <w:vAlign w:val="bottom"/>
          </w:tcPr>
          <w:p>
            <w:pPr>
              <w:ind w:left="120"/>
              <w:spacing w:after="0"/>
              <w:rPr>
                <w:sz w:val="20"/>
                <w:szCs w:val="20"/>
                <w:color w:val="auto"/>
              </w:rPr>
            </w:pPr>
            <w:r>
              <w:rPr>
                <w:rFonts w:ascii="Arial" w:cs="Arial" w:eastAsia="Arial" w:hAnsi="Arial"/>
                <w:sz w:val="18"/>
                <w:szCs w:val="18"/>
                <w:color w:val="auto"/>
              </w:rPr>
              <w:t>STATE OF LOUISIANA</w:t>
            </w:r>
          </w:p>
        </w:tc>
        <w:tc>
          <w:tcPr>
            <w:tcW w:w="2220" w:type="dxa"/>
            <w:vAlign w:val="bottom"/>
          </w:tcPr>
          <w:p>
            <w:pPr>
              <w:ind w:left="80"/>
              <w:spacing w:after="0"/>
              <w:rPr>
                <w:sz w:val="20"/>
                <w:szCs w:val="20"/>
                <w:color w:val="auto"/>
              </w:rPr>
            </w:pPr>
            <w:r>
              <w:rPr>
                <w:rFonts w:ascii="Arial" w:cs="Arial" w:eastAsia="Arial" w:hAnsi="Arial"/>
                <w:sz w:val="18"/>
                <w:szCs w:val="18"/>
                <w:color w:val="auto"/>
              </w:rPr>
              <w:t>Contractor License Job</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LP</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03/19/10</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cancelled</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#27017025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flat</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08748706</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 269 OF THE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Wage and Fringe Benefit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233,000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06/01/11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06/01/12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CONTRACTORS, INC.</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BROTHERHOOD OF</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ELECTRICAL WORKERS</w:t>
            </w: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rPr>
              <w:t>6231051</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tcPr>
          <w:p>
            <w:pPr>
              <w:ind w:left="120"/>
              <w:spacing w:after="0"/>
              <w:rPr>
                <w:sz w:val="20"/>
                <w:szCs w:val="20"/>
                <w:color w:val="auto"/>
              </w:rPr>
            </w:pPr>
            <w:r>
              <w:rPr>
                <w:rFonts w:ascii="Arial" w:cs="Arial" w:eastAsia="Arial" w:hAnsi="Arial"/>
                <w:sz w:val="18"/>
                <w:szCs w:val="18"/>
                <w:color w:val="auto"/>
              </w:rPr>
              <w:t>LOCAL UNION 164,</w:t>
            </w:r>
          </w:p>
        </w:tc>
        <w:tc>
          <w:tcPr>
            <w:tcW w:w="2220" w:type="dxa"/>
            <w:vAlign w:val="bottom"/>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350,000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12/31/09</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cancelled &amp;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tcPr>
          <w:p>
            <w:pPr>
              <w:ind w:left="120"/>
              <w:spacing w:after="0"/>
              <w:rPr>
                <w:sz w:val="20"/>
                <w:szCs w:val="20"/>
                <w:color w:val="auto"/>
              </w:rPr>
            </w:pPr>
            <w:r>
              <w:rPr>
                <w:rFonts w:ascii="Arial" w:cs="Arial" w:eastAsia="Arial" w:hAnsi="Arial"/>
                <w:sz w:val="18"/>
                <w:szCs w:val="18"/>
                <w:color w:val="auto"/>
                <w:w w:val="92"/>
              </w:rPr>
              <w:t>HUDSON-BERGEN-ESSEX</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rewritten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DIV NORTHERN NJ</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CHAPTER</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08983159</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S. M. ELECTRIC COMPANY,</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 UNION 269,</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03/05/11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03/05/12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MERCER DIV SOUTHERN</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NJ CHAPTER</w:t>
            </w: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09009208</w:t>
            </w:r>
          </w:p>
        </w:tc>
        <w:tc>
          <w:tcPr>
            <w:tcW w:w="2400" w:type="dxa"/>
            <w:vAlign w:val="bottom"/>
          </w:tcPr>
          <w:p>
            <w:pPr>
              <w:ind w:left="100"/>
              <w:spacing w:after="0"/>
              <w:rPr>
                <w:sz w:val="20"/>
                <w:szCs w:val="20"/>
                <w:color w:val="auto"/>
              </w:rPr>
            </w:pPr>
            <w:r>
              <w:rPr>
                <w:rFonts w:ascii="Arial" w:cs="Arial" w:eastAsia="Arial" w:hAnsi="Arial"/>
                <w:sz w:val="18"/>
                <w:szCs w:val="18"/>
                <w:color w:val="auto"/>
              </w:rPr>
              <w:t>S. M. ELECTRIC CO., INC.</w:t>
            </w:r>
          </w:p>
        </w:tc>
        <w:tc>
          <w:tcPr>
            <w:tcW w:w="2240" w:type="dxa"/>
            <w:vAlign w:val="bottom"/>
          </w:tcPr>
          <w:p>
            <w:pPr>
              <w:ind w:left="120"/>
              <w:spacing w:after="0"/>
              <w:rPr>
                <w:sz w:val="20"/>
                <w:szCs w:val="20"/>
                <w:color w:val="auto"/>
              </w:rPr>
            </w:pPr>
            <w:r>
              <w:rPr>
                <w:rFonts w:ascii="Arial" w:cs="Arial" w:eastAsia="Arial" w:hAnsi="Arial"/>
                <w:sz w:val="18"/>
                <w:szCs w:val="18"/>
                <w:color w:val="auto"/>
              </w:rPr>
              <w:t>LOCAL UNION 456,</w:t>
            </w:r>
          </w:p>
        </w:tc>
        <w:tc>
          <w:tcPr>
            <w:tcW w:w="2220" w:type="dxa"/>
            <w:vAlign w:val="bottom"/>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05/23/11</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05/23/12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MIDDLESEX DIV</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NORTHEASTERN</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CHAPTER NJ</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09009202</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STEAM FITTERS UNION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Wage &amp; Welfare Bond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750,000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05/01/11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05/01/12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420</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CONTRACTORS, INC.</w:t>
            </w: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08364709</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tcPr>
          <w:p>
            <w:pPr>
              <w:ind w:left="120"/>
              <w:spacing w:after="0"/>
              <w:rPr>
                <w:sz w:val="20"/>
                <w:szCs w:val="20"/>
                <w:color w:val="auto"/>
              </w:rPr>
            </w:pPr>
            <w:r>
              <w:rPr>
                <w:rFonts w:ascii="Arial" w:cs="Arial" w:eastAsia="Arial" w:hAnsi="Arial"/>
                <w:sz w:val="18"/>
                <w:szCs w:val="18"/>
                <w:color w:val="auto"/>
                <w:w w:val="96"/>
              </w:rPr>
              <w:t>STATE OF WASHINGTON</w:t>
            </w:r>
          </w:p>
        </w:tc>
        <w:tc>
          <w:tcPr>
            <w:tcW w:w="2220" w:type="dxa"/>
            <w:vAlign w:val="bottom"/>
          </w:tcPr>
          <w:p>
            <w:pPr>
              <w:ind w:left="80"/>
              <w:spacing w:after="0"/>
              <w:rPr>
                <w:sz w:val="20"/>
                <w:szCs w:val="20"/>
                <w:color w:val="auto"/>
              </w:rPr>
            </w:pPr>
            <w:r>
              <w:rPr>
                <w:rFonts w:ascii="Arial" w:cs="Arial" w:eastAsia="Arial" w:hAnsi="Arial"/>
                <w:sz w:val="18"/>
                <w:szCs w:val="18"/>
                <w:color w:val="auto"/>
              </w:rPr>
              <w:t>Self-Insurance Bond</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873,000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04/03/11</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04/03/12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COMPANY</w:t>
            </w:r>
          </w:p>
        </w:tc>
        <w:tc>
          <w:tcPr>
            <w:tcW w:w="2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09009245</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 UNION 164,</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7"/>
              </w:rPr>
              <w:t>1,350,000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06/30/11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06/30/12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HUDSON-BERGEN-ESSEX</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CONTRACTORS, INC. AND</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 NORTHERN NJ</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S.M. ELECTRIC COMPANY,</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CHAPTER</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w:t>
            </w: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rPr>
              <w:t>9009264</w:t>
            </w:r>
          </w:p>
        </w:tc>
        <w:tc>
          <w:tcPr>
            <w:tcW w:w="2400" w:type="dxa"/>
            <w:vAlign w:val="bottom"/>
          </w:tcPr>
          <w:p>
            <w:pPr>
              <w:ind w:left="100"/>
              <w:spacing w:after="0"/>
              <w:rPr>
                <w:sz w:val="20"/>
                <w:szCs w:val="20"/>
                <w:color w:val="auto"/>
              </w:rPr>
            </w:pPr>
            <w:r>
              <w:rPr>
                <w:rFonts w:ascii="Arial" w:cs="Arial" w:eastAsia="Arial" w:hAnsi="Arial"/>
                <w:sz w:val="18"/>
                <w:szCs w:val="18"/>
                <w:color w:val="auto"/>
              </w:rPr>
              <w:t>SM ELECTRIC CO., INC.</w:t>
            </w:r>
          </w:p>
        </w:tc>
        <w:tc>
          <w:tcPr>
            <w:tcW w:w="2240" w:type="dxa"/>
            <w:vAlign w:val="bottom"/>
          </w:tcPr>
          <w:p>
            <w:pPr>
              <w:ind w:left="120"/>
              <w:spacing w:after="0"/>
              <w:rPr>
                <w:sz w:val="20"/>
                <w:szCs w:val="20"/>
                <w:color w:val="auto"/>
              </w:rPr>
            </w:pPr>
            <w:r>
              <w:rPr>
                <w:rFonts w:ascii="Arial" w:cs="Arial" w:eastAsia="Arial" w:hAnsi="Arial"/>
                <w:sz w:val="18"/>
                <w:szCs w:val="18"/>
                <w:color w:val="auto"/>
              </w:rPr>
              <w:t>LOCAL UNION 102,</w:t>
            </w:r>
          </w:p>
        </w:tc>
        <w:tc>
          <w:tcPr>
            <w:tcW w:w="2220" w:type="dxa"/>
            <w:vAlign w:val="bottom"/>
          </w:tcPr>
          <w:p>
            <w:pPr>
              <w:ind w:left="80"/>
              <w:spacing w:after="0"/>
              <w:rPr>
                <w:sz w:val="20"/>
                <w:szCs w:val="20"/>
                <w:color w:val="auto"/>
              </w:rPr>
            </w:pPr>
            <w:r>
              <w:rPr>
                <w:rFonts w:ascii="Arial" w:cs="Arial" w:eastAsia="Arial" w:hAnsi="Arial"/>
                <w:sz w:val="18"/>
                <w:szCs w:val="18"/>
                <w:color w:val="auto"/>
              </w:rPr>
              <w:t>Wage &amp; Welfare</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w w:val="97"/>
              </w:rPr>
              <w:t>1,350,000</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07/01/11</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07/01/12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HIGHLANDS DIV</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w w:val="95"/>
              </w:rPr>
              <w:t>NORTHERN NJ CHAPTER</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08364704</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CAROLINA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Contractor License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7"/>
              </w:rPr>
              <w:t>2,000,000</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03/01/11</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03/01/12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LICENSING BOARD</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CONTRACTORS, INC.</w:t>
            </w: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rPr>
              <w:t>9057326</w:t>
            </w:r>
          </w:p>
        </w:tc>
        <w:tc>
          <w:tcPr>
            <w:tcW w:w="2400" w:type="dxa"/>
            <w:vAlign w:val="bottom"/>
          </w:tcPr>
          <w:p>
            <w:pPr>
              <w:ind w:left="100"/>
              <w:spacing w:after="0"/>
              <w:rPr>
                <w:sz w:val="20"/>
                <w:szCs w:val="20"/>
                <w:color w:val="auto"/>
              </w:rPr>
            </w:pPr>
            <w:r>
              <w:rPr>
                <w:rFonts w:ascii="Arial" w:cs="Arial" w:eastAsia="Arial" w:hAnsi="Arial"/>
                <w:sz w:val="18"/>
                <w:szCs w:val="18"/>
                <w:color w:val="auto"/>
              </w:rPr>
              <w:t>S.M. ELECTRIC CO., INC.</w:t>
            </w:r>
          </w:p>
        </w:tc>
        <w:tc>
          <w:tcPr>
            <w:tcW w:w="2240" w:type="dxa"/>
            <w:vAlign w:val="bottom"/>
          </w:tcPr>
          <w:p>
            <w:pPr>
              <w:ind w:left="120"/>
              <w:spacing w:after="0"/>
              <w:rPr>
                <w:sz w:val="20"/>
                <w:szCs w:val="20"/>
                <w:color w:val="auto"/>
              </w:rPr>
            </w:pPr>
            <w:r>
              <w:rPr>
                <w:rFonts w:ascii="Arial" w:cs="Arial" w:eastAsia="Arial" w:hAnsi="Arial"/>
                <w:sz w:val="18"/>
                <w:szCs w:val="18"/>
                <w:color w:val="auto"/>
              </w:rPr>
              <w:t>Commonsealth of</w:t>
            </w:r>
          </w:p>
        </w:tc>
        <w:tc>
          <w:tcPr>
            <w:tcW w:w="2220" w:type="dxa"/>
            <w:vAlign w:val="bottom"/>
          </w:tcPr>
          <w:p>
            <w:pPr>
              <w:ind w:left="80"/>
              <w:spacing w:after="0"/>
              <w:rPr>
                <w:sz w:val="20"/>
                <w:szCs w:val="20"/>
                <w:color w:val="auto"/>
              </w:rPr>
            </w:pPr>
            <w:r>
              <w:rPr>
                <w:rFonts w:ascii="Arial" w:cs="Arial" w:eastAsia="Arial" w:hAnsi="Arial"/>
                <w:sz w:val="18"/>
                <w:szCs w:val="18"/>
                <w:color w:val="auto"/>
              </w:rPr>
              <w:t>Guarantee Payment</w:t>
            </w:r>
          </w:p>
        </w:tc>
        <w:tc>
          <w:tcPr>
            <w:tcW w:w="480" w:type="dxa"/>
            <w:vAlign w:val="bottom"/>
          </w:tcPr>
          <w:p>
            <w:pPr>
              <w:jc w:val="center"/>
              <w:spacing w:after="0"/>
              <w:rPr>
                <w:sz w:val="20"/>
                <w:szCs w:val="20"/>
                <w:color w:val="auto"/>
              </w:rPr>
            </w:pPr>
            <w:r>
              <w:rPr>
                <w:rFonts w:ascii="Arial" w:cs="Arial" w:eastAsia="Arial" w:hAnsi="Arial"/>
                <w:sz w:val="18"/>
                <w:szCs w:val="18"/>
                <w:color w:val="auto"/>
                <w:w w:val="84"/>
              </w:rPr>
              <w:t>GP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698,437</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07/08/11</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01/08/13</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Massachusetts</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922946</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PHILADELPHIA GAS</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Specification No. 2781;</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4"/>
              </w:rPr>
              <w:t>PP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53,283</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05/18/10</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05/18/11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WORKS</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Installation of Control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CONTRACTORS, INC.</w:t>
            </w: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Systems for the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Commissioning of ESD-6 at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the Richmond Plant, 3100 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Venango St., Phila., PA</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19134</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860" w:type="dxa"/>
            <w:vAlign w:val="bottom"/>
          </w:tcPr>
          <w:p>
            <w:pPr>
              <w:jc w:val="right"/>
              <w:ind w:right="13"/>
              <w:spacing w:after="0"/>
              <w:rPr>
                <w:sz w:val="20"/>
                <w:szCs w:val="20"/>
                <w:color w:val="auto"/>
              </w:rPr>
            </w:pPr>
            <w:r>
              <w:rPr>
                <w:rFonts w:ascii="Arial" w:cs="Arial" w:eastAsia="Arial" w:hAnsi="Arial"/>
                <w:sz w:val="18"/>
                <w:szCs w:val="18"/>
                <w:color w:val="auto"/>
              </w:rPr>
              <w:t>6674786</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Svc, Inc.</w:t>
            </w:r>
          </w:p>
        </w:tc>
        <w:tc>
          <w:tcPr>
            <w:tcW w:w="2240" w:type="dxa"/>
            <w:vAlign w:val="bottom"/>
          </w:tcPr>
          <w:p>
            <w:pPr>
              <w:ind w:left="120"/>
              <w:spacing w:after="0"/>
              <w:rPr>
                <w:sz w:val="20"/>
                <w:szCs w:val="20"/>
                <w:color w:val="auto"/>
              </w:rPr>
            </w:pPr>
            <w:r>
              <w:rPr>
                <w:rFonts w:ascii="Arial" w:cs="Arial" w:eastAsia="Arial" w:hAnsi="Arial"/>
                <w:sz w:val="18"/>
                <w:szCs w:val="18"/>
                <w:color w:val="auto"/>
              </w:rPr>
              <w:t>Lockheed Martin</w:t>
            </w:r>
          </w:p>
        </w:tc>
        <w:tc>
          <w:tcPr>
            <w:tcW w:w="2220" w:type="dxa"/>
            <w:vAlign w:val="bottom"/>
          </w:tcPr>
          <w:p>
            <w:pPr>
              <w:ind w:left="80"/>
              <w:spacing w:after="0"/>
              <w:rPr>
                <w:sz w:val="20"/>
                <w:szCs w:val="20"/>
                <w:color w:val="auto"/>
              </w:rPr>
            </w:pPr>
            <w:r>
              <w:rPr>
                <w:rFonts w:ascii="Arial" w:cs="Arial" w:eastAsia="Arial" w:hAnsi="Arial"/>
                <w:sz w:val="18"/>
                <w:szCs w:val="18"/>
                <w:color w:val="auto"/>
              </w:rPr>
              <w:t>Contract #8100002777</w:t>
            </w:r>
          </w:p>
        </w:tc>
        <w:tc>
          <w:tcPr>
            <w:tcW w:w="480" w:type="dxa"/>
            <w:vAlign w:val="bottom"/>
          </w:tcPr>
          <w:p>
            <w:pPr>
              <w:jc w:val="center"/>
              <w:spacing w:after="0"/>
              <w:rPr>
                <w:sz w:val="20"/>
                <w:szCs w:val="20"/>
                <w:color w:val="auto"/>
              </w:rPr>
            </w:pPr>
            <w:r>
              <w:rPr>
                <w:rFonts w:ascii="Arial" w:cs="Arial" w:eastAsia="Arial" w:hAnsi="Arial"/>
                <w:sz w:val="18"/>
                <w:szCs w:val="18"/>
                <w:color w:val="auto"/>
                <w:w w:val="74"/>
              </w:rPr>
              <w:t>PP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w w:val="86"/>
              </w:rPr>
              <w:t>22,023,325</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11/9/2009</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11/9/2010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6674787</w:t>
            </w: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Matrix Svc, Inc.</w:t>
            </w: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 of Fullerton, CA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Installation of</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4"/>
              </w:rPr>
              <w:t>PP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57,677</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12/17/2009</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12/17/2010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Hydropneumatic Tank @ Las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Palmas Reservoir 3B</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22246571</w:t>
            </w:r>
          </w:p>
        </w:tc>
        <w:tc>
          <w:tcPr>
            <w:tcW w:w="2400" w:type="dxa"/>
            <w:vAlign w:val="bottom"/>
          </w:tcPr>
          <w:p>
            <w:pPr>
              <w:ind w:left="100"/>
              <w:spacing w:after="0"/>
              <w:rPr>
                <w:sz w:val="20"/>
                <w:szCs w:val="20"/>
                <w:color w:val="auto"/>
              </w:rPr>
            </w:pPr>
            <w:r>
              <w:rPr>
                <w:rFonts w:ascii="Arial" w:cs="Arial" w:eastAsia="Arial" w:hAnsi="Arial"/>
                <w:sz w:val="18"/>
                <w:szCs w:val="18"/>
                <w:color w:val="auto"/>
              </w:rPr>
              <w:t>Matrix Service Ind Cont</w:t>
            </w:r>
          </w:p>
        </w:tc>
        <w:tc>
          <w:tcPr>
            <w:tcW w:w="2240" w:type="dxa"/>
            <w:vAlign w:val="bottom"/>
          </w:tcPr>
          <w:p>
            <w:pPr>
              <w:ind w:left="120"/>
              <w:spacing w:after="0"/>
              <w:rPr>
                <w:sz w:val="20"/>
                <w:szCs w:val="20"/>
                <w:color w:val="auto"/>
              </w:rPr>
            </w:pPr>
            <w:r>
              <w:rPr>
                <w:rFonts w:ascii="Arial" w:cs="Arial" w:eastAsia="Arial" w:hAnsi="Arial"/>
                <w:sz w:val="18"/>
                <w:szCs w:val="18"/>
                <w:color w:val="auto"/>
              </w:rPr>
              <w:t>Mayo Environmental</w:t>
            </w:r>
          </w:p>
        </w:tc>
        <w:tc>
          <w:tcPr>
            <w:tcW w:w="2220" w:type="dxa"/>
            <w:vAlign w:val="bottom"/>
          </w:tcPr>
          <w:p>
            <w:pPr>
              <w:ind w:left="80"/>
              <w:spacing w:after="0"/>
              <w:rPr>
                <w:sz w:val="20"/>
                <w:szCs w:val="20"/>
                <w:color w:val="auto"/>
              </w:rPr>
            </w:pPr>
            <w:r>
              <w:rPr>
                <w:rFonts w:ascii="Arial" w:cs="Arial" w:eastAsia="Arial" w:hAnsi="Arial"/>
                <w:sz w:val="18"/>
                <w:szCs w:val="18"/>
                <w:color w:val="auto"/>
              </w:rPr>
              <w:t>Job #7742-00-55MAYO -</w:t>
            </w:r>
          </w:p>
        </w:tc>
        <w:tc>
          <w:tcPr>
            <w:tcW w:w="480" w:type="dxa"/>
            <w:vAlign w:val="bottom"/>
          </w:tcPr>
          <w:p>
            <w:pPr>
              <w:jc w:val="center"/>
              <w:spacing w:after="0"/>
              <w:rPr>
                <w:sz w:val="20"/>
                <w:szCs w:val="20"/>
                <w:color w:val="auto"/>
              </w:rPr>
            </w:pPr>
            <w:r>
              <w:rPr>
                <w:rFonts w:ascii="Arial" w:cs="Arial" w:eastAsia="Arial" w:hAnsi="Arial"/>
                <w:sz w:val="18"/>
                <w:szCs w:val="18"/>
                <w:color w:val="auto"/>
                <w:w w:val="74"/>
              </w:rPr>
              <w:t>PP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w w:val="97"/>
              </w:rPr>
              <w:t>6,308,379</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6/15/2010</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6/15/2011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Partners</w:t>
            </w:r>
          </w:p>
        </w:tc>
        <w:tc>
          <w:tcPr>
            <w:tcW w:w="2220" w:type="dxa"/>
            <w:vAlign w:val="bottom"/>
          </w:tcPr>
          <w:p>
            <w:pPr>
              <w:ind w:left="80"/>
              <w:spacing w:after="0"/>
              <w:rPr>
                <w:sz w:val="20"/>
                <w:szCs w:val="20"/>
                <w:color w:val="auto"/>
              </w:rPr>
            </w:pPr>
            <w:r>
              <w:rPr>
                <w:rFonts w:ascii="Arial" w:cs="Arial" w:eastAsia="Arial" w:hAnsi="Arial"/>
                <w:sz w:val="18"/>
                <w:szCs w:val="18"/>
                <w:color w:val="auto"/>
              </w:rPr>
              <w:t>OVERRUN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8" w:right="239" w:bottom="632"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Aon</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BOND</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rPr>
              <w:t>BOND NO.</w:t>
            </w:r>
          </w:p>
        </w:tc>
        <w:tc>
          <w:tcPr>
            <w:tcW w:w="2260" w:type="dxa"/>
            <w:vAlign w:val="bottom"/>
          </w:tcPr>
          <w:p>
            <w:pPr>
              <w:ind w:left="780"/>
              <w:spacing w:after="0"/>
              <w:rPr>
                <w:sz w:val="20"/>
                <w:szCs w:val="20"/>
                <w:color w:val="auto"/>
              </w:rPr>
            </w:pPr>
            <w:r>
              <w:rPr>
                <w:rFonts w:ascii="Arial" w:cs="Arial" w:eastAsia="Arial" w:hAnsi="Arial"/>
                <w:sz w:val="14"/>
                <w:szCs w:val="14"/>
                <w:b w:val="1"/>
                <w:bCs w:val="1"/>
                <w:color w:val="auto"/>
              </w:rPr>
              <w:t>PRINCIPAL</w:t>
            </w:r>
          </w:p>
        </w:tc>
        <w:tc>
          <w:tcPr>
            <w:tcW w:w="2040" w:type="dxa"/>
            <w:vAlign w:val="bottom"/>
          </w:tcPr>
          <w:p>
            <w:pPr>
              <w:ind w:left="740"/>
              <w:spacing w:after="0"/>
              <w:rPr>
                <w:sz w:val="20"/>
                <w:szCs w:val="20"/>
                <w:color w:val="auto"/>
              </w:rPr>
            </w:pPr>
            <w:r>
              <w:rPr>
                <w:rFonts w:ascii="Arial" w:cs="Arial" w:eastAsia="Arial" w:hAnsi="Arial"/>
                <w:sz w:val="14"/>
                <w:szCs w:val="14"/>
                <w:b w:val="1"/>
                <w:bCs w:val="1"/>
                <w:color w:val="auto"/>
              </w:rPr>
              <w:t>OBLIGEE</w:t>
            </w:r>
          </w:p>
        </w:tc>
        <w:tc>
          <w:tcPr>
            <w:tcW w:w="2120" w:type="dxa"/>
            <w:vAlign w:val="bottom"/>
          </w:tcPr>
          <w:p>
            <w:pPr>
              <w:ind w:left="62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TYPE</w:t>
            </w:r>
          </w:p>
        </w:tc>
        <w:tc>
          <w:tcPr>
            <w:tcW w:w="200" w:type="dxa"/>
            <w:vAlign w:val="bottom"/>
          </w:tcPr>
          <w:p>
            <w:pPr>
              <w:spacing w:after="0"/>
              <w:rPr>
                <w:sz w:val="15"/>
                <w:szCs w:val="15"/>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rPr>
              <w:t>EFFECTIVE</w:t>
            </w: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947797</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Enbridge Pipelines ND</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Bakken expansion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1,563,521</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8/16/2011</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8/15/2012</w:t>
            </w: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LLC</w:t>
            </w:r>
          </w:p>
        </w:tc>
        <w:tc>
          <w:tcPr>
            <w:tcW w:w="2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rPr>
              <w:t>947798</w:t>
            </w:r>
          </w:p>
        </w:tc>
        <w:tc>
          <w:tcPr>
            <w:tcW w:w="226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20"/>
              <w:spacing w:after="0"/>
              <w:rPr>
                <w:sz w:val="20"/>
                <w:szCs w:val="20"/>
                <w:color w:val="auto"/>
              </w:rPr>
            </w:pPr>
            <w:r>
              <w:rPr>
                <w:rFonts w:ascii="Arial" w:cs="Arial" w:eastAsia="Arial" w:hAnsi="Arial"/>
                <w:sz w:val="18"/>
                <w:szCs w:val="18"/>
                <w:color w:val="auto"/>
              </w:rPr>
              <w:t>Enbridge Pipelines ND</w:t>
            </w:r>
          </w:p>
        </w:tc>
        <w:tc>
          <w:tcPr>
            <w:tcW w:w="2120" w:type="dxa"/>
            <w:vAlign w:val="bottom"/>
          </w:tcPr>
          <w:p>
            <w:pPr>
              <w:ind w:left="140"/>
              <w:spacing w:after="0"/>
              <w:rPr>
                <w:sz w:val="20"/>
                <w:szCs w:val="20"/>
                <w:color w:val="auto"/>
              </w:rPr>
            </w:pPr>
            <w:r>
              <w:rPr>
                <w:rFonts w:ascii="Arial" w:cs="Arial" w:eastAsia="Arial" w:hAnsi="Arial"/>
                <w:sz w:val="18"/>
                <w:szCs w:val="18"/>
                <w:color w:val="auto"/>
              </w:rPr>
              <w:t>Bakken expansion</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999,510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8/16/2011</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8/15/2012</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rPr>
              <w:t>LLC</w:t>
            </w: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947799</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Enbridge Pipelines ND</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Bakken expansion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2,020,284</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8/16/2011</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8/15/2012</w:t>
            </w: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LLC</w:t>
            </w:r>
          </w:p>
        </w:tc>
        <w:tc>
          <w:tcPr>
            <w:tcW w:w="2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rPr>
              <w:t>947800</w:t>
            </w:r>
          </w:p>
        </w:tc>
        <w:tc>
          <w:tcPr>
            <w:tcW w:w="2260" w:type="dxa"/>
            <w:vAlign w:val="bottom"/>
          </w:tcPr>
          <w:p>
            <w:pPr>
              <w:ind w:left="140"/>
              <w:spacing w:after="0"/>
              <w:rPr>
                <w:sz w:val="20"/>
                <w:szCs w:val="20"/>
                <w:color w:val="auto"/>
              </w:rPr>
            </w:pPr>
            <w:r>
              <w:rPr>
                <w:rFonts w:ascii="Arial" w:cs="Arial" w:eastAsia="Arial" w:hAnsi="Arial"/>
                <w:sz w:val="18"/>
                <w:szCs w:val="18"/>
                <w:color w:val="auto"/>
                <w:w w:val="98"/>
              </w:rPr>
              <w:t>S.M. ELECTRIC CO., INC.</w:t>
            </w:r>
          </w:p>
        </w:tc>
        <w:tc>
          <w:tcPr>
            <w:tcW w:w="2040" w:type="dxa"/>
            <w:vAlign w:val="bottom"/>
          </w:tcPr>
          <w:p>
            <w:pPr>
              <w:ind w:left="120"/>
              <w:spacing w:after="0"/>
              <w:rPr>
                <w:sz w:val="20"/>
                <w:szCs w:val="20"/>
                <w:color w:val="auto"/>
              </w:rPr>
            </w:pPr>
            <w:r>
              <w:rPr>
                <w:rFonts w:ascii="Arial" w:cs="Arial" w:eastAsia="Arial" w:hAnsi="Arial"/>
                <w:sz w:val="18"/>
                <w:szCs w:val="18"/>
                <w:color w:val="auto"/>
              </w:rPr>
              <w:t>Northeast Utilities</w:t>
            </w:r>
          </w:p>
        </w:tc>
        <w:tc>
          <w:tcPr>
            <w:tcW w:w="2120" w:type="dxa"/>
            <w:vAlign w:val="bottom"/>
          </w:tcPr>
          <w:p>
            <w:pPr>
              <w:ind w:left="140"/>
              <w:spacing w:after="0"/>
              <w:rPr>
                <w:sz w:val="20"/>
                <w:szCs w:val="20"/>
                <w:color w:val="auto"/>
              </w:rPr>
            </w:pPr>
            <w:r>
              <w:rPr>
                <w:rFonts w:ascii="Arial" w:cs="Arial" w:eastAsia="Arial" w:hAnsi="Arial"/>
                <w:sz w:val="18"/>
                <w:szCs w:val="18"/>
                <w:color w:val="auto"/>
              </w:rPr>
              <w:t>Agawam substation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w w:val="86"/>
              </w:rPr>
              <w:t>11,175,000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8/24/2011</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TBA</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86"/>
              </w:rPr>
              <w:t>55,235,416</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rPr>
              <w:t>922953</w:t>
            </w:r>
          </w:p>
        </w:tc>
        <w:tc>
          <w:tcPr>
            <w:tcW w:w="2260" w:type="dxa"/>
            <w:vAlign w:val="bottom"/>
          </w:tcPr>
          <w:p>
            <w:pPr>
              <w:ind w:left="140"/>
              <w:spacing w:after="0"/>
              <w:rPr>
                <w:sz w:val="20"/>
                <w:szCs w:val="20"/>
                <w:color w:val="auto"/>
              </w:rPr>
            </w:pPr>
            <w:r>
              <w:rPr>
                <w:rFonts w:ascii="Arial" w:cs="Arial" w:eastAsia="Arial" w:hAnsi="Arial"/>
                <w:sz w:val="18"/>
                <w:szCs w:val="18"/>
                <w:color w:val="auto"/>
              </w:rPr>
              <w:t>S.M. ELECTRIC</w:t>
            </w:r>
          </w:p>
        </w:tc>
        <w:tc>
          <w:tcPr>
            <w:tcW w:w="2040" w:type="dxa"/>
            <w:vAlign w:val="bottom"/>
          </w:tcPr>
          <w:p>
            <w:pPr>
              <w:ind w:left="120"/>
              <w:spacing w:after="0"/>
              <w:rPr>
                <w:sz w:val="20"/>
                <w:szCs w:val="20"/>
                <w:color w:val="auto"/>
              </w:rPr>
            </w:pPr>
            <w:r>
              <w:rPr>
                <w:rFonts w:ascii="Arial" w:cs="Arial" w:eastAsia="Arial" w:hAnsi="Arial"/>
                <w:sz w:val="18"/>
                <w:szCs w:val="18"/>
                <w:color w:val="auto"/>
              </w:rPr>
              <w:t>URS Corporation</w:t>
            </w:r>
          </w:p>
        </w:tc>
        <w:tc>
          <w:tcPr>
            <w:tcW w:w="2120" w:type="dxa"/>
            <w:vAlign w:val="bottom"/>
          </w:tcPr>
          <w:p>
            <w:pPr>
              <w:ind w:left="140"/>
              <w:spacing w:after="0"/>
              <w:rPr>
                <w:sz w:val="20"/>
                <w:szCs w:val="20"/>
                <w:color w:val="auto"/>
              </w:rPr>
            </w:pPr>
            <w:r>
              <w:rPr>
                <w:rFonts w:ascii="Arial" w:cs="Arial" w:eastAsia="Arial" w:hAnsi="Arial"/>
                <w:sz w:val="18"/>
                <w:szCs w:val="18"/>
                <w:color w:val="auto"/>
              </w:rPr>
              <w:t>Subcontract No. 30029-</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w w:val="97"/>
              </w:rPr>
              <w:t>3,357,081</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8/2/2010</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job</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COMPANY</w:t>
            </w: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1300-SC; System</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Construction which</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includes Overhead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w w:val="98"/>
              </w:rPr>
              <w:t>Catenary System, Signal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and Train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922954</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 ELECTRIC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URS Corporation</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Hudson Bergen Rail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3,172,909</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10/13/2010</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job</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rPr>
              <w:t>922951</w:t>
            </w:r>
          </w:p>
        </w:tc>
        <w:tc>
          <w:tcPr>
            <w:tcW w:w="2260" w:type="dxa"/>
            <w:vAlign w:val="bottom"/>
          </w:tcPr>
          <w:p>
            <w:pPr>
              <w:ind w:left="140"/>
              <w:spacing w:after="0"/>
              <w:rPr>
                <w:sz w:val="20"/>
                <w:szCs w:val="20"/>
                <w:color w:val="auto"/>
              </w:rPr>
            </w:pPr>
            <w:r>
              <w:rPr>
                <w:rFonts w:ascii="Arial" w:cs="Arial" w:eastAsia="Arial" w:hAnsi="Arial"/>
                <w:sz w:val="18"/>
                <w:szCs w:val="18"/>
                <w:color w:val="auto"/>
              </w:rPr>
              <w:t>MATRIX SERVICE INC.</w:t>
            </w:r>
          </w:p>
        </w:tc>
        <w:tc>
          <w:tcPr>
            <w:tcW w:w="2040" w:type="dxa"/>
            <w:vAlign w:val="bottom"/>
          </w:tcPr>
          <w:p>
            <w:pPr>
              <w:ind w:left="120"/>
              <w:spacing w:after="0"/>
              <w:rPr>
                <w:sz w:val="20"/>
                <w:szCs w:val="20"/>
                <w:color w:val="auto"/>
              </w:rPr>
            </w:pPr>
            <w:r>
              <w:rPr>
                <w:rFonts w:ascii="Arial" w:cs="Arial" w:eastAsia="Arial" w:hAnsi="Arial"/>
                <w:sz w:val="18"/>
                <w:szCs w:val="18"/>
                <w:color w:val="auto"/>
              </w:rPr>
              <w:t>MAGELLAN PIPELINE</w:t>
            </w:r>
          </w:p>
        </w:tc>
        <w:tc>
          <w:tcPr>
            <w:tcW w:w="2120" w:type="dxa"/>
            <w:vAlign w:val="bottom"/>
          </w:tcPr>
          <w:p>
            <w:pPr>
              <w:ind w:left="140"/>
              <w:spacing w:after="0"/>
              <w:rPr>
                <w:sz w:val="20"/>
                <w:szCs w:val="20"/>
                <w:color w:val="auto"/>
              </w:rPr>
            </w:pPr>
            <w:r>
              <w:rPr>
                <w:rFonts w:ascii="Arial" w:cs="Arial" w:eastAsia="Arial" w:hAnsi="Arial"/>
                <w:sz w:val="18"/>
                <w:szCs w:val="18"/>
                <w:color w:val="auto"/>
              </w:rPr>
              <w:t>E. Houston Terminal,</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PP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w w:val="97"/>
              </w:rPr>
              <w:t>4,068,300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08/09/10</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job</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rPr>
              <w:t>TERMINALS, L.P.</w:t>
            </w:r>
          </w:p>
        </w:tc>
        <w:tc>
          <w:tcPr>
            <w:tcW w:w="2120" w:type="dxa"/>
            <w:vAlign w:val="bottom"/>
          </w:tcPr>
          <w:p>
            <w:pPr>
              <w:ind w:left="140"/>
              <w:spacing w:after="0"/>
              <w:rPr>
                <w:sz w:val="20"/>
                <w:szCs w:val="20"/>
                <w:color w:val="auto"/>
              </w:rPr>
            </w:pPr>
            <w:r>
              <w:rPr>
                <w:rFonts w:ascii="Arial" w:cs="Arial" w:eastAsia="Arial" w:hAnsi="Arial"/>
                <w:sz w:val="18"/>
                <w:szCs w:val="18"/>
                <w:color w:val="auto"/>
              </w:rPr>
              <w:t>Pressurized Storage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Sphere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9220" w:type="dxa"/>
            <w:vAlign w:val="bottom"/>
            <w:gridSpan w:val="7"/>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20" w:type="dxa"/>
            <w:vAlign w:val="bottom"/>
            <w:gridSpan w:val="7"/>
            <w:shd w:val="clear" w:color="auto" w:fill="CCEEFF"/>
          </w:tcPr>
          <w:p>
            <w:pPr>
              <w:jc w:val="right"/>
              <w:ind w:right="34"/>
              <w:spacing w:after="0"/>
              <w:rPr>
                <w:sz w:val="20"/>
                <w:szCs w:val="20"/>
                <w:color w:val="auto"/>
              </w:rPr>
            </w:pPr>
            <w:r>
              <w:rPr>
                <w:rFonts w:ascii="Arial" w:cs="Arial" w:eastAsia="Arial" w:hAnsi="Arial"/>
                <w:sz w:val="18"/>
                <w:szCs w:val="18"/>
                <w:color w:val="auto"/>
                <w:w w:val="89"/>
              </w:rPr>
              <w:t>Total Bonds for Old Projects which are completed but which we don’t have the paperwork from the owner to close out the bond.</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w w:val="95"/>
              </w:rPr>
              <w:t>103971604</w:t>
            </w:r>
          </w:p>
        </w:tc>
        <w:tc>
          <w:tcPr>
            <w:tcW w:w="2260" w:type="dxa"/>
            <w:vAlign w:val="bottom"/>
          </w:tcPr>
          <w:p>
            <w:pPr>
              <w:ind w:left="140"/>
              <w:spacing w:after="0"/>
              <w:rPr>
                <w:sz w:val="20"/>
                <w:szCs w:val="20"/>
                <w:color w:val="auto"/>
              </w:rPr>
            </w:pPr>
            <w:r>
              <w:rPr>
                <w:rFonts w:ascii="Arial" w:cs="Arial" w:eastAsia="Arial" w:hAnsi="Arial"/>
                <w:sz w:val="18"/>
                <w:szCs w:val="18"/>
                <w:color w:val="auto"/>
              </w:rPr>
              <w:t>Matrix Service Ind Cont</w:t>
            </w:r>
          </w:p>
        </w:tc>
        <w:tc>
          <w:tcPr>
            <w:tcW w:w="2040" w:type="dxa"/>
            <w:vAlign w:val="bottom"/>
          </w:tcPr>
          <w:p>
            <w:pPr>
              <w:ind w:left="120"/>
              <w:spacing w:after="0"/>
              <w:rPr>
                <w:sz w:val="20"/>
                <w:szCs w:val="20"/>
                <w:color w:val="auto"/>
              </w:rPr>
            </w:pPr>
            <w:r>
              <w:rPr>
                <w:rFonts w:ascii="Arial" w:cs="Arial" w:eastAsia="Arial" w:hAnsi="Arial"/>
                <w:sz w:val="18"/>
                <w:szCs w:val="18"/>
                <w:color w:val="auto"/>
              </w:rPr>
              <w:t>Kinder Morgan Bult</w:t>
            </w:r>
          </w:p>
        </w:tc>
        <w:tc>
          <w:tcPr>
            <w:tcW w:w="2120" w:type="dxa"/>
            <w:vAlign w:val="bottom"/>
          </w:tcPr>
          <w:p>
            <w:pPr>
              <w:ind w:left="140"/>
              <w:spacing w:after="0"/>
              <w:rPr>
                <w:sz w:val="20"/>
                <w:szCs w:val="20"/>
                <w:color w:val="auto"/>
              </w:rPr>
            </w:pPr>
            <w:r>
              <w:rPr>
                <w:rFonts w:ascii="Arial" w:cs="Arial" w:eastAsia="Arial" w:hAnsi="Arial"/>
                <w:sz w:val="18"/>
                <w:szCs w:val="18"/>
                <w:color w:val="auto"/>
              </w:rPr>
              <w:t>Contract NO. 30999-</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w w:val="97"/>
              </w:rPr>
              <w:t>1,695,300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3/7/2008</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3/7/2009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rPr>
              <w:t>Terminals, Inc.</w:t>
            </w:r>
          </w:p>
        </w:tc>
        <w:tc>
          <w:tcPr>
            <w:tcW w:w="2120" w:type="dxa"/>
            <w:vAlign w:val="bottom"/>
          </w:tcPr>
          <w:p>
            <w:pPr>
              <w:ind w:left="140"/>
              <w:spacing w:after="0"/>
              <w:rPr>
                <w:sz w:val="20"/>
                <w:szCs w:val="20"/>
                <w:color w:val="auto"/>
              </w:rPr>
            </w:pPr>
            <w:r>
              <w:rPr>
                <w:rFonts w:ascii="Arial" w:cs="Arial" w:eastAsia="Arial" w:hAnsi="Arial"/>
                <w:sz w:val="18"/>
                <w:szCs w:val="18"/>
                <w:color w:val="auto"/>
              </w:rPr>
              <w:t>CC03 “Structural-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Mechanical Package”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Fairless Hills Fertilizer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Expansion Project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104906867</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Ind Cont</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Burns &amp; McDonnell</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Branchburg-Flagtown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1,062,400</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7/30/2008</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7/30/2009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System Upgrade, Project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46139</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w w:val="95"/>
              </w:rPr>
              <w:t>929461571</w:t>
            </w:r>
          </w:p>
        </w:tc>
        <w:tc>
          <w:tcPr>
            <w:tcW w:w="2260" w:type="dxa"/>
            <w:vAlign w:val="bottom"/>
          </w:tcPr>
          <w:p>
            <w:pPr>
              <w:ind w:left="140"/>
              <w:spacing w:after="0"/>
              <w:rPr>
                <w:sz w:val="20"/>
                <w:szCs w:val="20"/>
                <w:color w:val="auto"/>
              </w:rPr>
            </w:pPr>
            <w:r>
              <w:rPr>
                <w:rFonts w:ascii="Arial" w:cs="Arial" w:eastAsia="Arial" w:hAnsi="Arial"/>
                <w:sz w:val="18"/>
                <w:szCs w:val="18"/>
                <w:color w:val="auto"/>
              </w:rPr>
              <w:t>Matrix Svc, Inc.</w:t>
            </w:r>
          </w:p>
        </w:tc>
        <w:tc>
          <w:tcPr>
            <w:tcW w:w="2040" w:type="dxa"/>
            <w:vAlign w:val="bottom"/>
          </w:tcPr>
          <w:p>
            <w:pPr>
              <w:ind w:left="120"/>
              <w:spacing w:after="0"/>
              <w:rPr>
                <w:sz w:val="20"/>
                <w:szCs w:val="20"/>
                <w:color w:val="auto"/>
              </w:rPr>
            </w:pPr>
            <w:r>
              <w:rPr>
                <w:rFonts w:ascii="Arial" w:cs="Arial" w:eastAsia="Arial" w:hAnsi="Arial"/>
                <w:sz w:val="18"/>
                <w:szCs w:val="18"/>
                <w:color w:val="auto"/>
              </w:rPr>
              <w:t>Calpine</w:t>
            </w:r>
          </w:p>
        </w:tc>
        <w:tc>
          <w:tcPr>
            <w:tcW w:w="2120" w:type="dxa"/>
            <w:vAlign w:val="bottom"/>
          </w:tcPr>
          <w:p>
            <w:pPr>
              <w:ind w:left="140"/>
              <w:spacing w:after="0"/>
              <w:rPr>
                <w:sz w:val="20"/>
                <w:szCs w:val="20"/>
                <w:color w:val="auto"/>
              </w:rPr>
            </w:pPr>
            <w:r>
              <w:rPr>
                <w:rFonts w:ascii="Arial" w:cs="Arial" w:eastAsia="Arial" w:hAnsi="Arial"/>
                <w:sz w:val="18"/>
                <w:szCs w:val="18"/>
                <w:color w:val="auto"/>
              </w:rPr>
              <w:t>Aidlin-12 Injection Line,</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223,929</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4/23/2009</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4/23/2010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Control Station,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Wellhead Tie-In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929461575</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Svc, Inc.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TexPar Energy LLC</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Proposal 22151478 -</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1,134,169</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7/30/2009</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7/30/2010</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clarification no 1 revision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dated July 9, 2009</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w w:val="95"/>
              </w:rPr>
              <w:t>929461576</w:t>
            </w:r>
          </w:p>
        </w:tc>
        <w:tc>
          <w:tcPr>
            <w:tcW w:w="2260" w:type="dxa"/>
            <w:vAlign w:val="bottom"/>
          </w:tcPr>
          <w:p>
            <w:pPr>
              <w:ind w:left="140"/>
              <w:spacing w:after="0"/>
              <w:rPr>
                <w:sz w:val="20"/>
                <w:szCs w:val="20"/>
                <w:color w:val="auto"/>
              </w:rPr>
            </w:pPr>
            <w:r>
              <w:rPr>
                <w:rFonts w:ascii="Arial" w:cs="Arial" w:eastAsia="Arial" w:hAnsi="Arial"/>
                <w:sz w:val="18"/>
                <w:szCs w:val="18"/>
                <w:color w:val="auto"/>
              </w:rPr>
              <w:t>Matrix Svc Ind Cont, Inc.</w:t>
            </w:r>
          </w:p>
        </w:tc>
        <w:tc>
          <w:tcPr>
            <w:tcW w:w="2040" w:type="dxa"/>
            <w:vAlign w:val="bottom"/>
          </w:tcPr>
          <w:p>
            <w:pPr>
              <w:ind w:left="120"/>
              <w:spacing w:after="0"/>
              <w:rPr>
                <w:sz w:val="20"/>
                <w:szCs w:val="20"/>
                <w:color w:val="auto"/>
              </w:rPr>
            </w:pPr>
            <w:r>
              <w:rPr>
                <w:rFonts w:ascii="Arial" w:cs="Arial" w:eastAsia="Arial" w:hAnsi="Arial"/>
                <w:sz w:val="18"/>
                <w:szCs w:val="18"/>
                <w:color w:val="auto"/>
                <w:w w:val="99"/>
              </w:rPr>
              <w:t>Atlas Technologies, Inc.</w:t>
            </w:r>
          </w:p>
        </w:tc>
        <w:tc>
          <w:tcPr>
            <w:tcW w:w="2120" w:type="dxa"/>
            <w:vAlign w:val="bottom"/>
          </w:tcPr>
          <w:p>
            <w:pPr>
              <w:ind w:left="140"/>
              <w:spacing w:after="0"/>
              <w:rPr>
                <w:sz w:val="20"/>
                <w:szCs w:val="20"/>
                <w:color w:val="auto"/>
              </w:rPr>
            </w:pPr>
            <w:r>
              <w:rPr>
                <w:rFonts w:ascii="Arial" w:cs="Arial" w:eastAsia="Arial" w:hAnsi="Arial"/>
                <w:sz w:val="18"/>
                <w:szCs w:val="18"/>
                <w:color w:val="auto"/>
              </w:rPr>
              <w:t>AP System for</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245,300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8/17/2009</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8/17/2010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w w:val="97"/>
              </w:rPr>
              <w:t>Brandywine Reality Trust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at 101-113 Juniper St.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55S002662</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 ELECTRIC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 OF PERTH</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ELECTRICAL FIRE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4,799,000</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08/12/04</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AMBOY</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ALARM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FOR BID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PACKAGE NO. 9</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tcPr>
          <w:p>
            <w:pPr>
              <w:jc w:val="right"/>
              <w:ind w:right="53"/>
              <w:spacing w:after="0"/>
              <w:rPr>
                <w:sz w:val="20"/>
                <w:szCs w:val="20"/>
                <w:color w:val="auto"/>
              </w:rPr>
            </w:pPr>
            <w:r>
              <w:rPr>
                <w:rFonts w:ascii="Arial" w:cs="Arial" w:eastAsia="Arial" w:hAnsi="Arial"/>
                <w:sz w:val="18"/>
                <w:szCs w:val="18"/>
                <w:color w:val="auto"/>
                <w:w w:val="93"/>
              </w:rPr>
              <w:t>55S002669</w:t>
            </w:r>
          </w:p>
        </w:tc>
        <w:tc>
          <w:tcPr>
            <w:tcW w:w="2260" w:type="dxa"/>
            <w:vAlign w:val="bottom"/>
          </w:tcPr>
          <w:p>
            <w:pPr>
              <w:ind w:left="140"/>
              <w:spacing w:after="0"/>
              <w:rPr>
                <w:sz w:val="20"/>
                <w:szCs w:val="20"/>
                <w:color w:val="auto"/>
              </w:rPr>
            </w:pPr>
            <w:r>
              <w:rPr>
                <w:rFonts w:ascii="Arial" w:cs="Arial" w:eastAsia="Arial" w:hAnsi="Arial"/>
                <w:sz w:val="18"/>
                <w:szCs w:val="18"/>
                <w:color w:val="auto"/>
              </w:rPr>
              <w:t>S.M. ELECTRIC</w:t>
            </w:r>
          </w:p>
        </w:tc>
        <w:tc>
          <w:tcPr>
            <w:tcW w:w="2040" w:type="dxa"/>
            <w:vAlign w:val="bottom"/>
          </w:tcPr>
          <w:p>
            <w:pPr>
              <w:ind w:left="120"/>
              <w:spacing w:after="0"/>
              <w:rPr>
                <w:sz w:val="20"/>
                <w:szCs w:val="20"/>
                <w:color w:val="auto"/>
              </w:rPr>
            </w:pPr>
            <w:r>
              <w:rPr>
                <w:rFonts w:ascii="Arial" w:cs="Arial" w:eastAsia="Arial" w:hAnsi="Arial"/>
                <w:sz w:val="18"/>
                <w:szCs w:val="18"/>
                <w:color w:val="auto"/>
              </w:rPr>
              <w:t>EE CRUZ COMPANY</w:t>
            </w:r>
          </w:p>
        </w:tc>
        <w:tc>
          <w:tcPr>
            <w:tcW w:w="2120" w:type="dxa"/>
            <w:vAlign w:val="bottom"/>
          </w:tcPr>
          <w:p>
            <w:pPr>
              <w:ind w:left="140"/>
              <w:spacing w:after="0"/>
              <w:rPr>
                <w:sz w:val="20"/>
                <w:szCs w:val="20"/>
                <w:color w:val="auto"/>
              </w:rPr>
            </w:pPr>
            <w:r>
              <w:rPr>
                <w:rFonts w:ascii="Arial" w:cs="Arial" w:eastAsia="Arial" w:hAnsi="Arial"/>
                <w:sz w:val="18"/>
                <w:szCs w:val="18"/>
                <w:color w:val="auto"/>
              </w:rPr>
              <w:t>WASTEWATER</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w w:val="97"/>
              </w:rPr>
              <w:t>8,150,000</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04/19/05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COMPANY</w:t>
            </w: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TREATMENT PLANT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IMPROVEMENTS FOR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RAHWAY VALLEY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SEWERAGE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AUTHORITY</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55S002671</w:t>
            </w: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 ELECTRIC</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TORCON</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FURNISH &amp; INSTALL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6"/>
              </w:rPr>
              <w:t>25,605,000</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09/28/05</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INCORPORATED</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ELECTRICAL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SECURITY, TELE/DATA</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RELATED WORK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GREYSTONE PARK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PSYCHIATRIC HOSP</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60" w:type="dxa"/>
            <w:vAlign w:val="bottom"/>
          </w:tcPr>
          <w:p>
            <w:pPr>
              <w:ind w:left="240"/>
              <w:spacing w:after="0"/>
              <w:rPr>
                <w:sz w:val="20"/>
                <w:szCs w:val="20"/>
                <w:color w:val="auto"/>
              </w:rPr>
            </w:pPr>
            <w:r>
              <w:rPr>
                <w:rFonts w:ascii="Arial" w:cs="Arial" w:eastAsia="Arial" w:hAnsi="Arial"/>
                <w:sz w:val="14"/>
                <w:szCs w:val="14"/>
                <w:color w:val="auto"/>
              </w:rPr>
              <w:t>Aon</w:t>
            </w:r>
          </w:p>
        </w:tc>
        <w:tc>
          <w:tcPr>
            <w:tcW w:w="780" w:type="dxa"/>
            <w:vAlign w:val="bottom"/>
          </w:tcPr>
          <w:p>
            <w:pPr>
              <w:spacing w:after="0"/>
              <w:rPr>
                <w:sz w:val="14"/>
                <w:szCs w:val="14"/>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BOND</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BOND NO.</w:t>
            </w:r>
          </w:p>
        </w:tc>
        <w:tc>
          <w:tcPr>
            <w:tcW w:w="2120" w:type="dxa"/>
            <w:vAlign w:val="bottom"/>
          </w:tcPr>
          <w:p>
            <w:pPr>
              <w:ind w:left="780"/>
              <w:spacing w:after="0"/>
              <w:rPr>
                <w:sz w:val="20"/>
                <w:szCs w:val="20"/>
                <w:color w:val="auto"/>
              </w:rPr>
            </w:pPr>
            <w:r>
              <w:rPr>
                <w:rFonts w:ascii="Arial" w:cs="Arial" w:eastAsia="Arial" w:hAnsi="Arial"/>
                <w:sz w:val="14"/>
                <w:szCs w:val="14"/>
                <w:b w:val="1"/>
                <w:bCs w:val="1"/>
                <w:color w:val="auto"/>
              </w:rPr>
              <w:t>PRINCIPAL</w:t>
            </w:r>
          </w:p>
        </w:tc>
        <w:tc>
          <w:tcPr>
            <w:tcW w:w="2240" w:type="dxa"/>
            <w:vAlign w:val="bottom"/>
          </w:tcPr>
          <w:p>
            <w:pPr>
              <w:ind w:left="880"/>
              <w:spacing w:after="0"/>
              <w:rPr>
                <w:sz w:val="20"/>
                <w:szCs w:val="20"/>
                <w:color w:val="auto"/>
              </w:rPr>
            </w:pPr>
            <w:r>
              <w:rPr>
                <w:rFonts w:ascii="Arial" w:cs="Arial" w:eastAsia="Arial" w:hAnsi="Arial"/>
                <w:sz w:val="14"/>
                <w:szCs w:val="14"/>
                <w:b w:val="1"/>
                <w:bCs w:val="1"/>
                <w:color w:val="auto"/>
              </w:rPr>
              <w:t>OBLIGEE</w:t>
            </w:r>
          </w:p>
        </w:tc>
        <w:tc>
          <w:tcPr>
            <w:tcW w:w="2160" w:type="dxa"/>
            <w:vAlign w:val="bottom"/>
          </w:tcPr>
          <w:p>
            <w:pPr>
              <w:ind w:left="62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TYPE</w:t>
            </w: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EFFECTIVEEXPIRATION</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55S006932</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FLUOR ENTERPRISES</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22,884,444</w:t>
            </w:r>
          </w:p>
        </w:tc>
        <w:tc>
          <w:tcPr>
            <w:tcW w:w="2160" w:type="dxa"/>
            <w:vAlign w:val="bottom"/>
            <w:shd w:val="clear" w:color="auto" w:fill="CCEEFF"/>
          </w:tcPr>
          <w:p>
            <w:pPr>
              <w:jc w:val="right"/>
              <w:ind w:right="1083"/>
              <w:spacing w:after="0"/>
              <w:rPr>
                <w:sz w:val="20"/>
                <w:szCs w:val="20"/>
                <w:color w:val="auto"/>
              </w:rPr>
            </w:pPr>
            <w:r>
              <w:rPr>
                <w:rFonts w:ascii="Arial" w:cs="Arial" w:eastAsia="Arial" w:hAnsi="Arial"/>
                <w:sz w:val="18"/>
                <w:szCs w:val="18"/>
                <w:color w:val="auto"/>
              </w:rPr>
              <w:t>09/17/08</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PETROCHEMICALS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w:t>
            </w: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USA, INC., DEEP</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CONVERSION PROJECT,</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PT ARTHUR, TX;</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 7Y TANKS;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 #TO</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00" w:type="dxa"/>
            <w:vAlign w:val="bottom"/>
          </w:tcPr>
          <w:p>
            <w:pPr>
              <w:jc w:val="right"/>
              <w:ind w:right="34"/>
              <w:spacing w:after="0"/>
              <w:rPr>
                <w:sz w:val="20"/>
                <w:szCs w:val="20"/>
                <w:color w:val="auto"/>
              </w:rPr>
            </w:pPr>
            <w:r>
              <w:rPr>
                <w:rFonts w:ascii="Arial" w:cs="Arial" w:eastAsia="Arial" w:hAnsi="Arial"/>
                <w:sz w:val="18"/>
                <w:szCs w:val="18"/>
                <w:color w:val="auto"/>
                <w:w w:val="93"/>
              </w:rPr>
              <w:t>55S006936</w:t>
            </w:r>
          </w:p>
        </w:tc>
        <w:tc>
          <w:tcPr>
            <w:tcW w:w="2120" w:type="dxa"/>
            <w:vAlign w:val="bottom"/>
          </w:tcPr>
          <w:p>
            <w:pPr>
              <w:ind w:left="140"/>
              <w:spacing w:after="0"/>
              <w:rPr>
                <w:sz w:val="20"/>
                <w:szCs w:val="20"/>
                <w:color w:val="auto"/>
              </w:rPr>
            </w:pPr>
            <w:r>
              <w:rPr>
                <w:rFonts w:ascii="Arial" w:cs="Arial" w:eastAsia="Arial" w:hAnsi="Arial"/>
                <w:sz w:val="18"/>
                <w:szCs w:val="18"/>
                <w:color w:val="auto"/>
              </w:rPr>
              <w:t>MATRIX SERVICES</w:t>
            </w:r>
          </w:p>
        </w:tc>
        <w:tc>
          <w:tcPr>
            <w:tcW w:w="2240" w:type="dxa"/>
            <w:vAlign w:val="bottom"/>
          </w:tcPr>
          <w:p>
            <w:pPr>
              <w:ind w:left="220"/>
              <w:spacing w:after="0"/>
              <w:rPr>
                <w:sz w:val="20"/>
                <w:szCs w:val="20"/>
                <w:color w:val="auto"/>
              </w:rPr>
            </w:pPr>
            <w:r>
              <w:rPr>
                <w:rFonts w:ascii="Arial" w:cs="Arial" w:eastAsia="Arial" w:hAnsi="Arial"/>
                <w:sz w:val="18"/>
                <w:szCs w:val="18"/>
                <w:color w:val="auto"/>
              </w:rPr>
              <w:t>MAGELLAN PIPELINE</w:t>
            </w:r>
          </w:p>
        </w:tc>
        <w:tc>
          <w:tcPr>
            <w:tcW w:w="2160" w:type="dxa"/>
            <w:vAlign w:val="bottom"/>
          </w:tcPr>
          <w:p>
            <w:pPr>
              <w:ind w:left="100"/>
              <w:spacing w:after="0"/>
              <w:rPr>
                <w:sz w:val="20"/>
                <w:szCs w:val="20"/>
                <w:color w:val="auto"/>
              </w:rPr>
            </w:pPr>
            <w:r>
              <w:rPr>
                <w:rFonts w:ascii="Arial" w:cs="Arial" w:eastAsia="Arial" w:hAnsi="Arial"/>
                <w:sz w:val="18"/>
                <w:szCs w:val="18"/>
                <w:color w:val="auto"/>
                <w:w w:val="99"/>
              </w:rPr>
              <w:t>AFE NO. 283-2009-7061,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847,296</w:t>
            </w:r>
          </w:p>
        </w:tc>
        <w:tc>
          <w:tcPr>
            <w:tcW w:w="2160" w:type="dxa"/>
            <w:vAlign w:val="bottom"/>
          </w:tcPr>
          <w:p>
            <w:pPr>
              <w:jc w:val="right"/>
              <w:ind w:right="1083"/>
              <w:spacing w:after="0"/>
              <w:rPr>
                <w:sz w:val="20"/>
                <w:szCs w:val="20"/>
                <w:color w:val="auto"/>
              </w:rPr>
            </w:pPr>
            <w:r>
              <w:rPr>
                <w:rFonts w:ascii="Arial" w:cs="Arial" w:eastAsia="Arial" w:hAnsi="Arial"/>
                <w:sz w:val="18"/>
                <w:szCs w:val="18"/>
                <w:color w:val="auto"/>
              </w:rPr>
              <w:t>08/04/09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tcPr>
          <w:p>
            <w:pPr>
              <w:ind w:left="220"/>
              <w:spacing w:after="0"/>
              <w:rPr>
                <w:sz w:val="20"/>
                <w:szCs w:val="20"/>
                <w:color w:val="auto"/>
              </w:rPr>
            </w:pPr>
            <w:r>
              <w:rPr>
                <w:rFonts w:ascii="Arial" w:cs="Arial" w:eastAsia="Arial" w:hAnsi="Arial"/>
                <w:sz w:val="18"/>
                <w:szCs w:val="18"/>
                <w:color w:val="auto"/>
              </w:rPr>
              <w:t>COMPANY L.P.</w:t>
            </w:r>
          </w:p>
        </w:tc>
        <w:tc>
          <w:tcPr>
            <w:tcW w:w="2160" w:type="dxa"/>
            <w:vAlign w:val="bottom"/>
          </w:tcPr>
          <w:p>
            <w:pPr>
              <w:ind w:left="100"/>
              <w:spacing w:after="0"/>
              <w:rPr>
                <w:sz w:val="20"/>
                <w:szCs w:val="20"/>
                <w:color w:val="auto"/>
              </w:rPr>
            </w:pPr>
            <w:r>
              <w:rPr>
                <w:rFonts w:ascii="Arial" w:cs="Arial" w:eastAsia="Arial" w:hAnsi="Arial"/>
                <w:sz w:val="18"/>
                <w:szCs w:val="18"/>
                <w:color w:val="auto"/>
              </w:rPr>
              <w:t>SCOTT CITY ETHANOL</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AND NEW TANK-</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DESIGN &amp;</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CONSTRUCTION OF</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ONE 120’ DIAMETER X</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55S006938</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BURNS &amp; MCDONNELL</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PFFC CARGO TRUCK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2,329,670</w:t>
            </w:r>
          </w:p>
        </w:tc>
        <w:tc>
          <w:tcPr>
            <w:tcW w:w="2160" w:type="dxa"/>
            <w:vAlign w:val="bottom"/>
            <w:shd w:val="clear" w:color="auto" w:fill="CCEEFF"/>
          </w:tcPr>
          <w:p>
            <w:pPr>
              <w:jc w:val="right"/>
              <w:ind w:right="1083"/>
              <w:spacing w:after="0"/>
              <w:rPr>
                <w:sz w:val="20"/>
                <w:szCs w:val="20"/>
                <w:color w:val="auto"/>
              </w:rPr>
            </w:pPr>
            <w:r>
              <w:rPr>
                <w:rFonts w:ascii="Arial" w:cs="Arial" w:eastAsia="Arial" w:hAnsi="Arial"/>
                <w:sz w:val="18"/>
                <w:szCs w:val="18"/>
                <w:color w:val="auto"/>
              </w:rPr>
              <w:t>08/25/09</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FILL STAND</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PROJECT PHASE II,</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SUBCONTRACT NO.</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42497</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00" w:type="dxa"/>
            <w:vAlign w:val="bottom"/>
          </w:tcPr>
          <w:p>
            <w:pPr>
              <w:jc w:val="right"/>
              <w:ind w:right="34"/>
              <w:spacing w:after="0"/>
              <w:rPr>
                <w:sz w:val="20"/>
                <w:szCs w:val="20"/>
                <w:color w:val="auto"/>
              </w:rPr>
            </w:pPr>
            <w:r>
              <w:rPr>
                <w:rFonts w:ascii="Arial" w:cs="Arial" w:eastAsia="Arial" w:hAnsi="Arial"/>
                <w:sz w:val="18"/>
                <w:szCs w:val="18"/>
                <w:color w:val="auto"/>
                <w:w w:val="93"/>
              </w:rPr>
              <w:t>55S006940</w:t>
            </w:r>
          </w:p>
        </w:tc>
        <w:tc>
          <w:tcPr>
            <w:tcW w:w="2120" w:type="dxa"/>
            <w:vAlign w:val="bottom"/>
          </w:tcPr>
          <w:p>
            <w:pPr>
              <w:ind w:left="140"/>
              <w:spacing w:after="0"/>
              <w:rPr>
                <w:sz w:val="20"/>
                <w:szCs w:val="20"/>
                <w:color w:val="auto"/>
              </w:rPr>
            </w:pPr>
            <w:r>
              <w:rPr>
                <w:rFonts w:ascii="Arial" w:cs="Arial" w:eastAsia="Arial" w:hAnsi="Arial"/>
                <w:sz w:val="18"/>
                <w:szCs w:val="18"/>
                <w:color w:val="auto"/>
              </w:rPr>
              <w:t>MATRIX SERVICE</w:t>
            </w:r>
          </w:p>
        </w:tc>
        <w:tc>
          <w:tcPr>
            <w:tcW w:w="2240" w:type="dxa"/>
            <w:vAlign w:val="bottom"/>
          </w:tcPr>
          <w:p>
            <w:pPr>
              <w:ind w:left="220"/>
              <w:spacing w:after="0"/>
              <w:rPr>
                <w:sz w:val="20"/>
                <w:szCs w:val="20"/>
                <w:color w:val="auto"/>
              </w:rPr>
            </w:pPr>
            <w:r>
              <w:rPr>
                <w:rFonts w:ascii="Arial" w:cs="Arial" w:eastAsia="Arial" w:hAnsi="Arial"/>
                <w:sz w:val="18"/>
                <w:szCs w:val="18"/>
                <w:color w:val="auto"/>
              </w:rPr>
              <w:t>PHILADELPHIA GAS</w:t>
            </w:r>
          </w:p>
        </w:tc>
        <w:tc>
          <w:tcPr>
            <w:tcW w:w="2160" w:type="dxa"/>
            <w:vAlign w:val="bottom"/>
          </w:tcPr>
          <w:p>
            <w:pPr>
              <w:ind w:left="100"/>
              <w:spacing w:after="0"/>
              <w:rPr>
                <w:sz w:val="20"/>
                <w:szCs w:val="20"/>
                <w:color w:val="auto"/>
              </w:rPr>
            </w:pPr>
            <w:r>
              <w:rPr>
                <w:rFonts w:ascii="Arial" w:cs="Arial" w:eastAsia="Arial" w:hAnsi="Arial"/>
                <w:sz w:val="18"/>
                <w:szCs w:val="18"/>
                <w:color w:val="auto"/>
              </w:rPr>
              <w:t>SECURTIY SYSTEM</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372,313</w:t>
            </w:r>
          </w:p>
        </w:tc>
        <w:tc>
          <w:tcPr>
            <w:tcW w:w="2160" w:type="dxa"/>
            <w:vAlign w:val="bottom"/>
          </w:tcPr>
          <w:p>
            <w:pPr>
              <w:jc w:val="right"/>
              <w:ind w:right="1083"/>
              <w:spacing w:after="0"/>
              <w:rPr>
                <w:sz w:val="20"/>
                <w:szCs w:val="20"/>
                <w:color w:val="auto"/>
              </w:rPr>
            </w:pPr>
            <w:r>
              <w:rPr>
                <w:rFonts w:ascii="Arial" w:cs="Arial" w:eastAsia="Arial" w:hAnsi="Arial"/>
                <w:sz w:val="18"/>
                <w:szCs w:val="18"/>
                <w:color w:val="auto"/>
              </w:rPr>
              <w:t>10/13/09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INDUSTRIAL</w:t>
            </w:r>
          </w:p>
        </w:tc>
        <w:tc>
          <w:tcPr>
            <w:tcW w:w="2240" w:type="dxa"/>
            <w:vAlign w:val="bottom"/>
          </w:tcPr>
          <w:p>
            <w:pPr>
              <w:ind w:left="220"/>
              <w:spacing w:after="0"/>
              <w:rPr>
                <w:sz w:val="20"/>
                <w:szCs w:val="20"/>
                <w:color w:val="auto"/>
              </w:rPr>
            </w:pPr>
            <w:r>
              <w:rPr>
                <w:rFonts w:ascii="Arial" w:cs="Arial" w:eastAsia="Arial" w:hAnsi="Arial"/>
                <w:sz w:val="18"/>
                <w:szCs w:val="18"/>
                <w:color w:val="auto"/>
              </w:rPr>
              <w:t>WORKS</w:t>
            </w:r>
          </w:p>
        </w:tc>
        <w:tc>
          <w:tcPr>
            <w:tcW w:w="2160" w:type="dxa"/>
            <w:vAlign w:val="bottom"/>
          </w:tcPr>
          <w:p>
            <w:pPr>
              <w:ind w:left="100"/>
              <w:spacing w:after="0"/>
              <w:rPr>
                <w:sz w:val="20"/>
                <w:szCs w:val="20"/>
                <w:color w:val="auto"/>
              </w:rPr>
            </w:pPr>
            <w:r>
              <w:rPr>
                <w:rFonts w:ascii="Arial" w:cs="Arial" w:eastAsia="Arial" w:hAnsi="Arial"/>
                <w:sz w:val="18"/>
                <w:szCs w:val="18"/>
                <w:color w:val="auto"/>
              </w:rPr>
              <w:t>DESIGN &amp;</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CONTRACTORS</w:t>
            </w: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INSTALLATION FOR</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THE LING FACILITY AT</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PGW’S PASSYUNK</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PLANT</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55S007709</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 ELECTRIC</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SHAW STONE &amp;</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SUBCONTRACT NO.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6"/>
              </w:rPr>
              <w:t>16,456,290</w:t>
            </w:r>
          </w:p>
        </w:tc>
        <w:tc>
          <w:tcPr>
            <w:tcW w:w="2160" w:type="dxa"/>
            <w:vAlign w:val="bottom"/>
            <w:shd w:val="clear" w:color="auto" w:fill="CCEEFF"/>
          </w:tcPr>
          <w:p>
            <w:pPr>
              <w:jc w:val="right"/>
              <w:ind w:right="1083"/>
              <w:spacing w:after="0"/>
              <w:rPr>
                <w:sz w:val="20"/>
                <w:szCs w:val="20"/>
                <w:color w:val="auto"/>
              </w:rPr>
            </w:pPr>
            <w:r>
              <w:rPr>
                <w:rFonts w:ascii="Arial" w:cs="Arial" w:eastAsia="Arial" w:hAnsi="Arial"/>
                <w:sz w:val="18"/>
                <w:szCs w:val="18"/>
                <w:color w:val="auto"/>
              </w:rPr>
              <w:t>03/06/07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WEBSTER</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11146404-102542,</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INSTALLATION WORK</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MONTOUR UNITS 1 &amp; 2</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FGD RETROFIT PROJEC</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00" w:type="dxa"/>
            <w:vAlign w:val="bottom"/>
          </w:tcPr>
          <w:p>
            <w:pPr>
              <w:jc w:val="right"/>
              <w:ind w:right="34"/>
              <w:spacing w:after="0"/>
              <w:rPr>
                <w:sz w:val="20"/>
                <w:szCs w:val="20"/>
                <w:color w:val="auto"/>
              </w:rPr>
            </w:pPr>
            <w:r>
              <w:rPr>
                <w:rFonts w:ascii="Arial" w:cs="Arial" w:eastAsia="Arial" w:hAnsi="Arial"/>
                <w:sz w:val="18"/>
                <w:szCs w:val="18"/>
                <w:color w:val="auto"/>
                <w:w w:val="93"/>
              </w:rPr>
              <w:t>55S007710</w:t>
            </w:r>
          </w:p>
        </w:tc>
        <w:tc>
          <w:tcPr>
            <w:tcW w:w="2120" w:type="dxa"/>
            <w:vAlign w:val="bottom"/>
          </w:tcPr>
          <w:p>
            <w:pPr>
              <w:ind w:left="140"/>
              <w:spacing w:after="0"/>
              <w:rPr>
                <w:sz w:val="20"/>
                <w:szCs w:val="20"/>
                <w:color w:val="auto"/>
              </w:rPr>
            </w:pPr>
            <w:r>
              <w:rPr>
                <w:rFonts w:ascii="Arial" w:cs="Arial" w:eastAsia="Arial" w:hAnsi="Arial"/>
                <w:sz w:val="18"/>
                <w:szCs w:val="18"/>
                <w:color w:val="auto"/>
              </w:rPr>
              <w:t>S.M. ELECTRIC</w:t>
            </w:r>
          </w:p>
        </w:tc>
        <w:tc>
          <w:tcPr>
            <w:tcW w:w="2240" w:type="dxa"/>
            <w:vAlign w:val="bottom"/>
          </w:tcPr>
          <w:p>
            <w:pPr>
              <w:ind w:left="220"/>
              <w:spacing w:after="0"/>
              <w:rPr>
                <w:sz w:val="20"/>
                <w:szCs w:val="20"/>
                <w:color w:val="auto"/>
              </w:rPr>
            </w:pPr>
            <w:r>
              <w:rPr>
                <w:rFonts w:ascii="Arial" w:cs="Arial" w:eastAsia="Arial" w:hAnsi="Arial"/>
                <w:sz w:val="18"/>
                <w:szCs w:val="18"/>
                <w:color w:val="auto"/>
              </w:rPr>
              <w:t>ROWAN UNIVERSITY</w:t>
            </w:r>
          </w:p>
        </w:tc>
        <w:tc>
          <w:tcPr>
            <w:tcW w:w="2160" w:type="dxa"/>
            <w:vAlign w:val="bottom"/>
          </w:tcPr>
          <w:p>
            <w:pPr>
              <w:ind w:left="100"/>
              <w:spacing w:after="0"/>
              <w:rPr>
                <w:sz w:val="20"/>
                <w:szCs w:val="20"/>
                <w:color w:val="auto"/>
              </w:rPr>
            </w:pPr>
            <w:r>
              <w:rPr>
                <w:rFonts w:ascii="Arial" w:cs="Arial" w:eastAsia="Arial" w:hAnsi="Arial"/>
                <w:sz w:val="18"/>
                <w:szCs w:val="18"/>
                <w:color w:val="auto"/>
              </w:rPr>
              <w:t>INSTALLATION OF THE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w w:val="97"/>
              </w:rPr>
              <w:t>2,817,000</w:t>
            </w:r>
          </w:p>
        </w:tc>
        <w:tc>
          <w:tcPr>
            <w:tcW w:w="2160" w:type="dxa"/>
            <w:vAlign w:val="bottom"/>
          </w:tcPr>
          <w:p>
            <w:pPr>
              <w:jc w:val="right"/>
              <w:ind w:right="1083"/>
              <w:spacing w:after="0"/>
              <w:rPr>
                <w:sz w:val="20"/>
                <w:szCs w:val="20"/>
                <w:color w:val="auto"/>
              </w:rPr>
            </w:pPr>
            <w:r>
              <w:rPr>
                <w:rFonts w:ascii="Arial" w:cs="Arial" w:eastAsia="Arial" w:hAnsi="Arial"/>
                <w:sz w:val="18"/>
                <w:szCs w:val="18"/>
                <w:color w:val="auto"/>
              </w:rPr>
              <w:t>06/14/07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COMPANY</w:t>
            </w: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NEW 69KV</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SUBSTATION - ROWAN</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UNIVERSITY BID # 07-</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36 (REBID)-ROWAN</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UNIVERSITY PURCH</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55S007711</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 ELECTRIC</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SHAWSTONE &amp;</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&amp;</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4,945,000</w:t>
            </w:r>
          </w:p>
        </w:tc>
        <w:tc>
          <w:tcPr>
            <w:tcW w:w="2160" w:type="dxa"/>
            <w:vAlign w:val="bottom"/>
            <w:shd w:val="clear" w:color="auto" w:fill="CCEEFF"/>
          </w:tcPr>
          <w:p>
            <w:pPr>
              <w:jc w:val="right"/>
              <w:ind w:right="1083"/>
              <w:spacing w:after="0"/>
              <w:rPr>
                <w:sz w:val="20"/>
                <w:szCs w:val="20"/>
                <w:color w:val="auto"/>
              </w:rPr>
            </w:pPr>
            <w:r>
              <w:rPr>
                <w:rFonts w:ascii="Arial" w:cs="Arial" w:eastAsia="Arial" w:hAnsi="Arial"/>
                <w:sz w:val="18"/>
                <w:szCs w:val="18"/>
                <w:color w:val="auto"/>
              </w:rPr>
              <w:t>06/15/07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WEBSTER</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INSTRUMENT</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INCORPORATED</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INSTALLATION -</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PSE&amp;G, BRIDGEPORT,</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CT SUBCONTRACT NO.</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1203613300-103322</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00" w:type="dxa"/>
            <w:vAlign w:val="bottom"/>
          </w:tcPr>
          <w:p>
            <w:pPr>
              <w:jc w:val="right"/>
              <w:ind w:right="34"/>
              <w:spacing w:after="0"/>
              <w:rPr>
                <w:sz w:val="20"/>
                <w:szCs w:val="20"/>
                <w:color w:val="auto"/>
              </w:rPr>
            </w:pPr>
            <w:r>
              <w:rPr>
                <w:rFonts w:ascii="Arial" w:cs="Arial" w:eastAsia="Arial" w:hAnsi="Arial"/>
                <w:sz w:val="18"/>
                <w:szCs w:val="18"/>
                <w:color w:val="auto"/>
                <w:w w:val="95"/>
              </w:rPr>
              <w:t>929409561</w:t>
            </w:r>
          </w:p>
        </w:tc>
        <w:tc>
          <w:tcPr>
            <w:tcW w:w="2120" w:type="dxa"/>
            <w:vAlign w:val="bottom"/>
          </w:tcPr>
          <w:p>
            <w:pPr>
              <w:ind w:left="140"/>
              <w:spacing w:after="0"/>
              <w:rPr>
                <w:sz w:val="20"/>
                <w:szCs w:val="20"/>
                <w:color w:val="auto"/>
              </w:rPr>
            </w:pPr>
            <w:r>
              <w:rPr>
                <w:rFonts w:ascii="Arial" w:cs="Arial" w:eastAsia="Arial" w:hAnsi="Arial"/>
                <w:sz w:val="18"/>
                <w:szCs w:val="18"/>
                <w:color w:val="auto"/>
              </w:rPr>
              <w:t>Matrix Service Industrial</w:t>
            </w:r>
          </w:p>
        </w:tc>
        <w:tc>
          <w:tcPr>
            <w:tcW w:w="2240" w:type="dxa"/>
            <w:vAlign w:val="bottom"/>
          </w:tcPr>
          <w:p>
            <w:pPr>
              <w:ind w:left="220"/>
              <w:spacing w:after="0"/>
              <w:rPr>
                <w:sz w:val="20"/>
                <w:szCs w:val="20"/>
                <w:color w:val="auto"/>
              </w:rPr>
            </w:pPr>
            <w:r>
              <w:rPr>
                <w:rFonts w:ascii="Arial" w:cs="Arial" w:eastAsia="Arial" w:hAnsi="Arial"/>
                <w:sz w:val="18"/>
                <w:szCs w:val="18"/>
                <w:color w:val="auto"/>
              </w:rPr>
              <w:t>Nicholson &amp; Hall</w:t>
            </w:r>
          </w:p>
        </w:tc>
        <w:tc>
          <w:tcPr>
            <w:tcW w:w="2160" w:type="dxa"/>
            <w:vAlign w:val="bottom"/>
          </w:tcPr>
          <w:p>
            <w:pPr>
              <w:ind w:left="100"/>
              <w:spacing w:after="0"/>
              <w:rPr>
                <w:sz w:val="20"/>
                <w:szCs w:val="20"/>
                <w:color w:val="auto"/>
              </w:rPr>
            </w:pPr>
            <w:r>
              <w:rPr>
                <w:rFonts w:ascii="Arial" w:cs="Arial" w:eastAsia="Arial" w:hAnsi="Arial"/>
                <w:sz w:val="18"/>
                <w:szCs w:val="18"/>
                <w:color w:val="auto"/>
              </w:rPr>
              <w:t>Tanks (6) and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557,600</w:t>
            </w:r>
          </w:p>
        </w:tc>
        <w:tc>
          <w:tcPr>
            <w:tcW w:w="2160" w:type="dxa"/>
            <w:vAlign w:val="bottom"/>
          </w:tcPr>
          <w:p>
            <w:pPr>
              <w:jc w:val="right"/>
              <w:ind w:right="1083"/>
              <w:spacing w:after="0"/>
              <w:rPr>
                <w:sz w:val="20"/>
                <w:szCs w:val="20"/>
                <w:color w:val="auto"/>
              </w:rPr>
            </w:pPr>
            <w:r>
              <w:rPr>
                <w:rFonts w:ascii="Arial" w:cs="Arial" w:eastAsia="Arial" w:hAnsi="Arial"/>
                <w:sz w:val="18"/>
                <w:szCs w:val="18"/>
                <w:color w:val="auto"/>
              </w:rPr>
              <w:t>10/12/2006</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8"/>
                <w:szCs w:val="18"/>
                <w:color w:val="auto"/>
              </w:rPr>
              <w:t>Contractors, Inc.</w:t>
            </w:r>
          </w:p>
        </w:tc>
        <w:tc>
          <w:tcPr>
            <w:tcW w:w="224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2160" w:type="dxa"/>
            <w:vAlign w:val="bottom"/>
          </w:tcPr>
          <w:p>
            <w:pPr>
              <w:ind w:left="100"/>
              <w:spacing w:after="0"/>
              <w:rPr>
                <w:sz w:val="20"/>
                <w:szCs w:val="20"/>
                <w:color w:val="auto"/>
              </w:rPr>
            </w:pPr>
            <w:r>
              <w:rPr>
                <w:rFonts w:ascii="Arial" w:cs="Arial" w:eastAsia="Arial" w:hAnsi="Arial"/>
                <w:sz w:val="18"/>
                <w:szCs w:val="18"/>
                <w:color w:val="auto"/>
              </w:rPr>
              <w:t>silos/Dominion Energy</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5"/>
              </w:rPr>
              <w:t>929401655</w:t>
            </w: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Matrix Service Industrial</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Benham Constructors,</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Lake Erie Biofuels Project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4,450,069</w:t>
            </w:r>
          </w:p>
        </w:tc>
        <w:tc>
          <w:tcPr>
            <w:tcW w:w="2160" w:type="dxa"/>
            <w:vAlign w:val="bottom"/>
            <w:shd w:val="clear" w:color="auto" w:fill="CCEEFF"/>
          </w:tcPr>
          <w:p>
            <w:pPr>
              <w:jc w:val="right"/>
              <w:ind w:right="1083"/>
              <w:spacing w:after="0"/>
              <w:rPr>
                <w:sz w:val="20"/>
                <w:szCs w:val="20"/>
                <w:color w:val="auto"/>
              </w:rPr>
            </w:pPr>
            <w:r>
              <w:rPr>
                <w:rFonts w:ascii="Arial" w:cs="Arial" w:eastAsia="Arial" w:hAnsi="Arial"/>
                <w:sz w:val="18"/>
                <w:szCs w:val="18"/>
                <w:color w:val="auto"/>
              </w:rPr>
              <w:t>8/22/2006</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Contractors, Inc.</w:t>
            </w:r>
          </w:p>
        </w:tc>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LLC</w:t>
            </w:r>
          </w:p>
        </w:tc>
        <w:tc>
          <w:tcPr>
            <w:tcW w:w="2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b w:val="1"/>
                <w:bCs w:val="1"/>
                <w:color w:val="auto"/>
                <w:w w:val="86"/>
              </w:rPr>
              <w:t>98,574,780</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7" w:right="239" w:bottom="1440" w:gutter="0" w:footer="0" w:header="0"/>
        </w:sectPr>
      </w:pPr>
    </w:p>
    <w:bookmarkStart w:id="185" w:name="page186"/>
    <w:bookmarkEnd w:id="18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Indebtedness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6.02</w:t>
      </w:r>
    </w:p>
    <w:p>
      <w:pPr>
        <w:sectPr>
          <w:pgSz w:w="11900" w:h="16838" w:orient="portrait"/>
          <w:cols w:equalWidth="0" w:num="1">
            <w:col w:w="9019"/>
          </w:cols>
          <w:pgMar w:left="1440" w:top="274"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Existing Liens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38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6.08</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Existing Restrictions (On Ability to Create, Incur or Permit Liens,</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Ability to Pay Distributions or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repay loans or to guarantee Indebtedness, Etc.)</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188" w:name="page189"/>
    <w:bookmarkEnd w:id="188"/>
    <w:p>
      <w:pPr>
        <w:jc w:val="center"/>
        <w:ind w:right="-7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7(u)</w:t>
      </w:r>
    </w:p>
    <w:p>
      <w:pPr>
        <w:spacing w:after="0" w:line="171"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Entities that Will Discontinue Business or</w:t>
      </w:r>
    </w:p>
    <w:p>
      <w:pPr>
        <w:spacing w:after="0" w:line="56" w:lineRule="exact"/>
        <w:rPr>
          <w:sz w:val="20"/>
          <w:szCs w:val="20"/>
          <w:color w:val="auto"/>
        </w:rPr>
      </w:pPr>
    </w:p>
    <w:p>
      <w:pPr>
        <w:jc w:val="center"/>
        <w:ind w:right="-760"/>
        <w:spacing w:after="0"/>
        <w:rPr>
          <w:sz w:val="20"/>
          <w:szCs w:val="20"/>
          <w:color w:val="auto"/>
        </w:rPr>
      </w:pPr>
      <w:r>
        <w:rPr>
          <w:rFonts w:ascii="Arial" w:cs="Arial" w:eastAsia="Arial" w:hAnsi="Arial"/>
          <w:sz w:val="16"/>
          <w:szCs w:val="16"/>
          <w:b w:val="1"/>
          <w:bCs w:val="1"/>
          <w:color w:val="auto"/>
        </w:rPr>
        <w:t>Make a Material Change in the Nature of</w:t>
      </w:r>
    </w:p>
    <w:p>
      <w:pPr>
        <w:spacing w:after="0" w:line="32"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or Manner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intent is to dissolve Matrix Service Specialized Transport, Inc.</w:t>
      </w:r>
    </w:p>
    <w:p>
      <w:pPr>
        <w:sectPr>
          <w:pgSz w:w="11900" w:h="16838" w:orient="portrait"/>
          <w:cols w:equalWidth="0" w:num="1">
            <w:col w:w="9759"/>
          </w:cols>
          <w:pgMar w:left="700" w:top="274" w:right="1440" w:bottom="1440" w:gutter="0" w:footer="0" w:header="0"/>
        </w:sectPr>
      </w:pPr>
    </w:p>
    <w:bookmarkStart w:id="189" w:name="page190"/>
    <w:bookmarkEnd w:id="189"/>
    <w:p>
      <w:pPr>
        <w:ind w:left="4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7(v)</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Entities that are not Required to Maintain Permits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current intent is to dissolve Matrix Service Specialized Transport, Inc., a Pennsylvania corporation.</w:t>
      </w:r>
    </w:p>
    <w:p>
      <w:pPr>
        <w:sectPr>
          <w:pgSz w:w="11900" w:h="16838" w:orient="portrait"/>
          <w:cols w:equalWidth="0" w:num="1">
            <w:col w:w="9759"/>
          </w:cols>
          <w:pgMar w:left="700" w:top="274"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90"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90"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2011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2011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lvl w:ilvl="1">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1)"/>
      <w:numFmt w:val="upperLetter"/>
      <w:start w:val="1"/>
    </w:lvl>
  </w:abstractNum>
  <w:abstractNum w:abstractNumId="18">
    <w:nsid w:val="488AC1A"/>
    <w:multiLevelType w:val="hybridMultilevel"/>
    <w:lvl w:ilvl="0">
      <w:lvlJc w:val="left"/>
      <w:lvlText w:val="&lt;"/>
      <w:numFmt w:val="bullet"/>
      <w:start w:val="1"/>
    </w:lvl>
  </w:abstractNum>
  <w:abstractNum w:abstractNumId="19">
    <w:nsid w:val="5FB8011C"/>
    <w:multiLevelType w:val="hybridMultilevel"/>
    <w:lvl w:ilvl="0">
      <w:lvlJc w:val="left"/>
      <w:lvlText w:val="&lt;"/>
      <w:numFmt w:val="bullet"/>
      <w:start w:val="1"/>
    </w:lvl>
  </w:abstractNum>
  <w:abstractNum w:abstractNumId="20">
    <w:nsid w:val="6AA78F7F"/>
    <w:multiLevelType w:val="hybridMultilevel"/>
    <w:lvl w:ilvl="0">
      <w:lvlJc w:val="left"/>
      <w:lvlText w:val="(%1)"/>
      <w:numFmt w:val="lowerRoman"/>
      <w:start w:val="1"/>
    </w:lvl>
  </w:abstractNum>
  <w:abstractNum w:abstractNumId="21">
    <w:nsid w:val="7672BD23"/>
    <w:multiLevelType w:val="hybridMultilevel"/>
    <w:lvl w:ilvl="0">
      <w:lvlJc w:val="left"/>
      <w:lvlText w:val="(%1)"/>
      <w:numFmt w:val="lowerRoman"/>
      <w:start w:val="3"/>
    </w:lvl>
  </w:abstractNum>
  <w:abstractNum w:abstractNumId="22">
    <w:nsid w:val="6FC75AF8"/>
    <w:multiLevelType w:val="hybridMultilevel"/>
    <w:lvl w:ilvl="0">
      <w:lvlJc w:val="left"/>
      <w:lvlText w:val="(%1)"/>
      <w:numFmt w:val="upperLetter"/>
      <w:start w:val="5"/>
    </w:lvl>
  </w:abstractNum>
  <w:abstractNum w:abstractNumId="23">
    <w:nsid w:val="6A5F7029"/>
    <w:multiLevelType w:val="hybridMultilevel"/>
    <w:lvl w:ilvl="0">
      <w:lvlJc w:val="left"/>
      <w:lvlText w:val="(%1)"/>
      <w:numFmt w:val="upperLetter"/>
      <w:start w:val="3"/>
    </w:lvl>
  </w:abstractNum>
  <w:abstractNum w:abstractNumId="24">
    <w:nsid w:val="7D5E18F8"/>
    <w:multiLevelType w:val="hybridMultilevel"/>
    <w:lvl w:ilvl="0">
      <w:lvlJc w:val="left"/>
      <w:lvlText w:val="(%1)"/>
      <w:numFmt w:val="lowerRoman"/>
      <w:start w:val="1"/>
    </w:lvl>
  </w:abstractNum>
  <w:abstractNum w:abstractNumId="25">
    <w:nsid w:val="5F3534A4"/>
    <w:multiLevelType w:val="hybridMultilevel"/>
    <w:lvl w:ilvl="0">
      <w:lvlJc w:val="left"/>
      <w:lvlText w:val="(%1)"/>
      <w:numFmt w:val="upperLetter"/>
      <w:start w:val="5"/>
    </w:lvl>
  </w:abstractNum>
  <w:abstractNum w:abstractNumId="26">
    <w:nsid w:val="73A1821B"/>
    <w:multiLevelType w:val="hybridMultilevel"/>
    <w:lvl w:ilvl="0">
      <w:lvlJc w:val="left"/>
      <w:lvlText w:val="(%1)"/>
      <w:numFmt w:val="lowerLetter"/>
      <w:start w:val="1"/>
    </w:lvl>
  </w:abstractNum>
  <w:abstractNum w:abstractNumId="27">
    <w:nsid w:val="7DE67713"/>
    <w:multiLevelType w:val="hybridMultilevel"/>
    <w:lvl w:ilvl="0">
      <w:lvlJc w:val="left"/>
      <w:lvlText w:val="(%1)"/>
      <w:numFmt w:val="lowerLetter"/>
      <w:start w:val="5"/>
    </w:lvl>
  </w:abstractNum>
  <w:abstractNum w:abstractNumId="28">
    <w:nsid w:val="555C55B5"/>
    <w:multiLevelType w:val="hybridMultilevel"/>
    <w:lvl w:ilvl="0">
      <w:lvlJc w:val="left"/>
      <w:lvlText w:val="(%1)"/>
      <w:numFmt w:val="lowerLetter"/>
      <w:start w:val="1"/>
    </w:lvl>
  </w:abstractNum>
  <w:abstractNum w:abstractNumId="29">
    <w:nsid w:val="3FA62ACA"/>
    <w:multiLevelType w:val="hybridMultilevel"/>
    <w:lvl w:ilvl="0">
      <w:lvlJc w:val="left"/>
      <w:lvlText w:val="(%1)"/>
      <w:numFmt w:val="lowerLetter"/>
      <w:start w:val="4"/>
    </w:lvl>
  </w:abstractNum>
  <w:abstractNum w:abstractNumId="30">
    <w:nsid w:val="14FCE74E"/>
    <w:multiLevelType w:val="hybridMultilevel"/>
    <w:lvl w:ilvl="0">
      <w:lvlJc w:val="left"/>
      <w:lvlText w:val="(%1)"/>
      <w:numFmt w:val="lowerRoman"/>
      <w:start w:val="1"/>
    </w:lvl>
  </w:abstractNum>
  <w:abstractNum w:abstractNumId="31">
    <w:nsid w:val="6A3DD3E8"/>
    <w:multiLevelType w:val="hybridMultilevel"/>
    <w:lvl w:ilvl="0">
      <w:lvlJc w:val="left"/>
      <w:lvlText w:val="(%1)"/>
      <w:numFmt w:val="lowerRoman"/>
      <w:start w:val="6"/>
    </w:lvl>
  </w:abstractNum>
  <w:abstractNum w:abstractNumId="32">
    <w:nsid w:val="71C91298"/>
    <w:multiLevelType w:val="hybridMultilevel"/>
    <w:lvl w:ilvl="0">
      <w:lvlJc w:val="left"/>
      <w:lvlText w:val="(%1)"/>
      <w:numFmt w:val="lowerLetter"/>
      <w:start w:val="1"/>
    </w:lvl>
  </w:abstractNum>
  <w:abstractNum w:abstractNumId="33">
    <w:nsid w:val="9DAF632"/>
    <w:multiLevelType w:val="hybridMultilevel"/>
    <w:lvl w:ilvl="0">
      <w:lvlJc w:val="left"/>
      <w:lvlText w:val="(%1)"/>
      <w:numFmt w:val="lowerLetter"/>
      <w:start w:val="2"/>
    </w:lvl>
  </w:abstractNum>
  <w:abstractNum w:abstractNumId="34">
    <w:nsid w:val="53299938"/>
    <w:multiLevelType w:val="hybridMultilevel"/>
    <w:lvl w:ilvl="0">
      <w:lvlJc w:val="left"/>
      <w:lvlText w:val="(%1)"/>
      <w:numFmt w:val="lowerLetter"/>
      <w:start w:val="1"/>
    </w:lvl>
  </w:abstractNum>
  <w:abstractNum w:abstractNumId="35">
    <w:nsid w:val="1FBFE8E0"/>
    <w:multiLevelType w:val="hybridMultilevel"/>
    <w:lvl w:ilvl="0">
      <w:lvlJc w:val="left"/>
      <w:lvlText w:val="(%1)"/>
      <w:numFmt w:val="lowerLetter"/>
      <w:start w:val="2"/>
    </w:lvl>
  </w:abstractNum>
  <w:abstractNum w:abstractNumId="36">
    <w:nsid w:val="5092CA79"/>
    <w:multiLevelType w:val="hybridMultilevel"/>
    <w:lvl w:ilvl="0">
      <w:lvlJc w:val="left"/>
      <w:lvlText w:val="(%1)"/>
      <w:numFmt w:val="lowerLetter"/>
      <w:start w:val="1"/>
    </w:lvl>
  </w:abstractNum>
  <w:abstractNum w:abstractNumId="37">
    <w:nsid w:val="1D545C4D"/>
    <w:multiLevelType w:val="hybridMultilevel"/>
    <w:lvl w:ilvl="0">
      <w:lvlJc w:val="left"/>
      <w:lvlText w:val="%1"/>
      <w:numFmt w:val="lowerLetter"/>
      <w:start w:val="1"/>
    </w:lvl>
    <w:lvl w:ilvl="1">
      <w:lvlJc w:val="left"/>
      <w:lvlText w:val="(%2)"/>
      <w:numFmt w:val="lowerLetter"/>
      <w:start w:val="5"/>
    </w:lvl>
  </w:abstractNum>
  <w:abstractNum w:abstractNumId="38">
    <w:nsid w:val="59ADEA3D"/>
    <w:multiLevelType w:val="hybridMultilevel"/>
    <w:lvl w:ilvl="0">
      <w:lvlJc w:val="left"/>
      <w:lvlText w:val="(%1)"/>
      <w:numFmt w:val="lowerLetter"/>
      <w:start w:val="61"/>
    </w:lvl>
    <w:lvl w:ilvl="1">
      <w:lvlJc w:val="left"/>
      <w:lvlText w:val="%2"/>
      <w:numFmt w:val="lowerLetter"/>
      <w:start w:val="1"/>
    </w:lvl>
  </w:abstractNum>
  <w:abstractNum w:abstractNumId="39">
    <w:nsid w:val="288F1A34"/>
    <w:multiLevelType w:val="hybridMultilevel"/>
    <w:lvl w:ilvl="0">
      <w:lvlJc w:val="left"/>
      <w:lvlText w:val="(%1)"/>
      <w:numFmt w:val="lowerLetter"/>
      <w:start w:val="7"/>
    </w:lvl>
  </w:abstractNum>
  <w:abstractNum w:abstractNumId="40">
    <w:nsid w:val="2A155DBC"/>
    <w:multiLevelType w:val="hybridMultilevel"/>
    <w:lvl w:ilvl="0">
      <w:lvlJc w:val="left"/>
      <w:lvlText w:val="(%1)"/>
      <w:numFmt w:val="lowerLetter"/>
      <w:start w:val="10"/>
    </w:lvl>
  </w:abstractNum>
  <w:abstractNum w:abstractNumId="41">
    <w:nsid w:val="1D9F6E5F"/>
    <w:multiLevelType w:val="hybridMultilevel"/>
    <w:lvl w:ilvl="0">
      <w:lvlJc w:val="left"/>
      <w:lvlText w:val="(%1)"/>
      <w:numFmt w:val="lowerLetter"/>
      <w:start w:val="1"/>
    </w:lvl>
  </w:abstractNum>
  <w:abstractNum w:abstractNumId="42">
    <w:nsid w:val="97E1B4E"/>
    <w:multiLevelType w:val="hybridMultilevel"/>
    <w:lvl w:ilvl="0">
      <w:lvlJc w:val="left"/>
      <w:lvlText w:val="(%1)"/>
      <w:numFmt w:val="lowerLetter"/>
      <w:start w:val="1"/>
    </w:lvl>
    <w:lvl w:ilvl="1">
      <w:lvlJc w:val="left"/>
      <w:lvlText w:val="(%2)"/>
      <w:numFmt w:val="lowerRoman"/>
      <w:start w:val="1"/>
    </w:lvl>
  </w:abstractNum>
  <w:abstractNum w:abstractNumId="43">
    <w:nsid w:val="51088277"/>
    <w:multiLevelType w:val="hybridMultilevel"/>
    <w:lvl w:ilvl="0">
      <w:lvlJc w:val="left"/>
      <w:lvlText w:val="(%1)"/>
      <w:numFmt w:val="lowerRoman"/>
      <w:start w:val="3"/>
    </w:lvl>
  </w:abstractNum>
  <w:abstractNum w:abstractNumId="44">
    <w:nsid w:val="1CA0C5FA"/>
    <w:multiLevelType w:val="hybridMultilevel"/>
    <w:lvl w:ilvl="0">
      <w:lvlJc w:val="left"/>
      <w:lvlText w:val="(%1)"/>
      <w:numFmt w:val="lowerLetter"/>
      <w:start w:val="4"/>
    </w:lvl>
  </w:abstractNum>
  <w:abstractNum w:abstractNumId="45">
    <w:nsid w:val="53584BCB"/>
    <w:multiLevelType w:val="hybridMultilevel"/>
    <w:lvl w:ilvl="0">
      <w:lvlJc w:val="left"/>
      <w:lvlText w:val="(%1)"/>
      <w:numFmt w:val="lowerLetter"/>
      <w:start w:val="1"/>
    </w:lvl>
  </w:abstractNum>
  <w:abstractNum w:abstractNumId="46">
    <w:nsid w:val="415E286C"/>
    <w:multiLevelType w:val="hybridMultilevel"/>
    <w:lvl w:ilvl="0">
      <w:lvlJc w:val="left"/>
      <w:lvlText w:val="(%1)"/>
      <w:numFmt w:val="lowerLetter"/>
      <w:start w:val="1"/>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2"/>
    </w:lvl>
  </w:abstractNum>
  <w:abstractNum w:abstractNumId="50">
    <w:nsid w:val="5C10FE21"/>
    <w:multiLevelType w:val="hybridMultilevel"/>
    <w:lvl w:ilvl="0">
      <w:lvlJc w:val="left"/>
      <w:lvlText w:val="(%1)"/>
      <w:numFmt w:val="lowerLetter"/>
      <w:start w:val="4"/>
    </w:lvl>
  </w:abstractNum>
  <w:abstractNum w:abstractNumId="51">
    <w:nsid w:val="E7FFA2B"/>
    <w:multiLevelType w:val="hybridMultilevel"/>
    <w:lvl w:ilvl="0">
      <w:lvlJc w:val="left"/>
      <w:lvlText w:val="(%1)"/>
      <w:numFmt w:val="lowerLetter"/>
      <w:start w:val="1"/>
    </w:lvl>
  </w:abstractNum>
  <w:abstractNum w:abstractNumId="52">
    <w:nsid w:val="3C5991AA"/>
    <w:multiLevelType w:val="hybridMultilevel"/>
    <w:lvl w:ilvl="0">
      <w:lvlJc w:val="left"/>
      <w:lvlText w:val="%1"/>
      <w:numFmt w:val="lowerLetter"/>
      <w:start w:val="1"/>
    </w:lvl>
    <w:lvl w:ilvl="1">
      <w:lvlJc w:val="left"/>
      <w:lvlText w:val="(%2)"/>
      <w:numFmt w:val="lowerLetter"/>
      <w:start w:val="7"/>
    </w:lvl>
  </w:abstractNum>
  <w:abstractNum w:abstractNumId="53">
    <w:nsid w:val="4BD8591A"/>
    <w:multiLevelType w:val="hybridMultilevel"/>
    <w:lvl w:ilvl="0">
      <w:lvlJc w:val="left"/>
      <w:lvlText w:val="(%1)"/>
      <w:numFmt w:val="lowerLetter"/>
      <w:start w:val="3"/>
    </w:lvl>
    <w:lvl w:ilvl="1">
      <w:lvlJc w:val="left"/>
      <w:lvlText w:val="%2"/>
      <w:numFmt w:val="lowerLetter"/>
      <w:start w:val="1"/>
    </w:lvl>
  </w:abstractNum>
  <w:abstractNum w:abstractNumId="54">
    <w:nsid w:val="78DF6A55"/>
    <w:multiLevelType w:val="hybridMultilevel"/>
    <w:lvl w:ilvl="0">
      <w:lvlJc w:val="left"/>
      <w:lvlText w:val="(%1)"/>
      <w:numFmt w:val="lowerLetter"/>
      <w:start w:val="1"/>
    </w:lvl>
    <w:lvl w:ilvl="1">
      <w:lvlJc w:val="left"/>
      <w:lvlText w:val="(%2)"/>
      <w:numFmt w:val="lowerRoman"/>
      <w:start w:val="1"/>
    </w:lvl>
  </w:abstractNum>
  <w:abstractNum w:abstractNumId="55">
    <w:nsid w:val="39B7AAA2"/>
    <w:multiLevelType w:val="hybridMultilevel"/>
    <w:lvl w:ilvl="0">
      <w:lvlJc w:val="left"/>
      <w:lvlText w:val="(%1)"/>
      <w:numFmt w:val="lowerLetter"/>
      <w:start w:val="2"/>
    </w:lvl>
    <w:lvl w:ilvl="1">
      <w:lvlJc w:val="left"/>
      <w:lvlText w:val="(%2)"/>
      <w:numFmt w:val="lowerRoman"/>
      <w:start w:val="1"/>
    </w:lvl>
  </w:abstractNum>
  <w:abstractNum w:abstractNumId="56">
    <w:nsid w:val="2B0D8DBE"/>
    <w:multiLevelType w:val="hybridMultilevel"/>
    <w:lvl w:ilvl="0">
      <w:lvlJc w:val="left"/>
      <w:lvlText w:val="(%1)"/>
      <w:numFmt w:val="lowerLetter"/>
      <w:start w:val="1"/>
    </w:lvl>
    <w:lvl w:ilvl="1">
      <w:lvlJc w:val="left"/>
      <w:lvlText w:val="(%2)"/>
      <w:numFmt w:val="lowerLetter"/>
      <w:start w:val="9"/>
    </w:lvl>
  </w:abstractNum>
  <w:abstractNum w:abstractNumId="57">
    <w:nsid w:val="6C80EC70"/>
    <w:multiLevelType w:val="hybridMultilevel"/>
    <w:lvl w:ilvl="0">
      <w:lvlJc w:val="left"/>
      <w:lvlText w:val="(%1)"/>
      <w:numFmt w:val="lowerRoman"/>
      <w:start w:val="2"/>
    </w:lvl>
  </w:abstractNum>
  <w:abstractNum w:abstractNumId="58">
    <w:nsid w:val="379E21B5"/>
    <w:multiLevelType w:val="hybridMultilevel"/>
    <w:lvl w:ilvl="0">
      <w:lvlJc w:val="left"/>
      <w:lvlText w:val="(%1)"/>
      <w:numFmt w:val="lowerLetter"/>
      <w:start w:val="2"/>
    </w:lvl>
  </w:abstractNum>
  <w:abstractNum w:abstractNumId="59">
    <w:nsid w:val="69E373"/>
    <w:multiLevelType w:val="hybridMultilevel"/>
    <w:lvl w:ilvl="0">
      <w:lvlJc w:val="left"/>
      <w:lvlText w:val="(%1)"/>
      <w:numFmt w:val="decimal"/>
      <w:start w:val="10"/>
    </w:lvl>
    <w:lvl w:ilvl="1">
      <w:lvlJc w:val="left"/>
      <w:lvlText w:val="(%2)"/>
      <w:numFmt w:val="lowerLetter"/>
      <w:start w:val="1"/>
    </w:lvl>
  </w:abstractNum>
  <w:abstractNum w:abstractNumId="60">
    <w:nsid w:val="2C27173B"/>
    <w:multiLevelType w:val="hybridMultilevel"/>
    <w:lvl w:ilvl="0">
      <w:lvlJc w:val="left"/>
      <w:lvlText w:val="(%1)"/>
      <w:numFmt w:val="lowerLetter"/>
      <w:start w:val="5"/>
    </w:lvl>
    <w:lvl w:ilvl="1">
      <w:lvlJc w:val="left"/>
      <w:lvlText w:val="(%2)"/>
      <w:numFmt w:val="lowerRoman"/>
      <w:start w:val="1"/>
    </w:lvl>
  </w:abstractNum>
  <w:abstractNum w:abstractNumId="61">
    <w:nsid w:val="4C9B0904"/>
    <w:multiLevelType w:val="hybridMultilevel"/>
    <w:lvl w:ilvl="0">
      <w:lvlJc w:val="left"/>
      <w:lvlText w:val="%1"/>
      <w:numFmt w:val="lowerRoman"/>
      <w:start w:val="1"/>
    </w:lvl>
    <w:lvl w:ilvl="1">
      <w:lvlJc w:val="left"/>
      <w:lvlText w:val="(%2)"/>
      <w:numFmt w:val="upperLetter"/>
      <w:start w:val="2"/>
    </w:lvl>
  </w:abstractNum>
  <w:abstractNum w:abstractNumId="62">
    <w:nsid w:val="6AA7B75C"/>
    <w:multiLevelType w:val="hybridMultilevel"/>
    <w:lvl w:ilvl="0">
      <w:lvlJc w:val="left"/>
      <w:lvlText w:val="(%1)"/>
      <w:numFmt w:val="lowerRoman"/>
      <w:start w:val="3"/>
    </w:lvl>
    <w:lvl w:ilvl="1">
      <w:lvlJc w:val="left"/>
      <w:lvlText w:val="%2"/>
      <w:numFmt w:val="upperLetter"/>
      <w:start w:val="1"/>
    </w:lvl>
  </w:abstractNum>
  <w:abstractNum w:abstractNumId="63">
    <w:nsid w:val="1DF029D3"/>
    <w:multiLevelType w:val="hybridMultilevel"/>
    <w:lvl w:ilvl="0">
      <w:lvlJc w:val="left"/>
      <w:lvlText w:val="(%1)"/>
      <w:numFmt w:val="lowerLetter"/>
      <w:start w:val="7"/>
    </w:lvl>
  </w:abstractNum>
  <w:abstractNum w:abstractNumId="64">
    <w:nsid w:val="5675FF36"/>
    <w:multiLevelType w:val="hybridMultilevel"/>
    <w:lvl w:ilvl="0">
      <w:lvlJc w:val="left"/>
      <w:lvlText w:val="(%1)"/>
      <w:numFmt w:val="lowerLetter"/>
      <w:start w:val="1"/>
    </w:lvl>
  </w:abstractNum>
  <w:abstractNum w:abstractNumId="65">
    <w:nsid w:val="3DD15094"/>
    <w:multiLevelType w:val="hybridMultilevel"/>
    <w:lvl w:ilvl="0">
      <w:lvlJc w:val="left"/>
      <w:lvlText w:val="(%1)"/>
      <w:numFmt w:val="lowerLetter"/>
      <w:start w:val="3"/>
    </w:lvl>
  </w:abstractNum>
  <w:abstractNum w:abstractNumId="66">
    <w:nsid w:val="3DB012B3"/>
    <w:multiLevelType w:val="hybridMultilevel"/>
    <w:lvl w:ilvl="0">
      <w:lvlJc w:val="left"/>
      <w:lvlText w:val="(%1)"/>
      <w:numFmt w:val="lowerLetter"/>
      <w:start w:val="1"/>
    </w:lvl>
  </w:abstractNum>
  <w:abstractNum w:abstractNumId="67">
    <w:nsid w:val="2708C9AF"/>
    <w:multiLevelType w:val="hybridMultilevel"/>
    <w:lvl w:ilvl="0">
      <w:lvlJc w:val="left"/>
      <w:lvlText w:val="(%1)"/>
      <w:numFmt w:val="lowerLetter"/>
      <w:start w:val="1"/>
    </w:lvl>
  </w:abstractNum>
  <w:abstractNum w:abstractNumId="68">
    <w:nsid w:val="5B25ACE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9">
    <w:nsid w:val="175DFCF0"/>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lowerLetter"/>
      <w:start w:val="1"/>
    </w:lvl>
  </w:abstractNum>
  <w:abstractNum w:abstractNumId="72">
    <w:nsid w:val="34FD6B4F"/>
    <w:multiLevelType w:val="hybridMultilevel"/>
    <w:lvl w:ilvl="0">
      <w:lvlJc w:val="left"/>
      <w:lvlText w:val="(%1)"/>
      <w:numFmt w:val="lowerLetter"/>
      <w:start w:val="1"/>
    </w:lvl>
  </w:abstractNum>
  <w:abstractNum w:abstractNumId="73">
    <w:nsid w:val="5915FF32"/>
    <w:multiLevelType w:val="hybridMultilevel"/>
    <w:lvl w:ilvl="0">
      <w:lvlJc w:val="left"/>
      <w:lvlText w:val="%1"/>
      <w:numFmt w:val="lowerLetter"/>
      <w:start w:val="1"/>
    </w:lvl>
    <w:lvl w:ilvl="1">
      <w:lvlJc w:val="left"/>
      <w:lvlText w:val="(%2)"/>
      <w:numFmt w:val="lowerLetter"/>
      <w:start w:val="1"/>
    </w:lvl>
  </w:abstractNum>
  <w:abstractNum w:abstractNumId="74">
    <w:nsid w:val="56438D15"/>
    <w:multiLevelType w:val="hybridMultilevel"/>
    <w:lvl w:ilvl="0">
      <w:lvlJc w:val="left"/>
      <w:lvlText w:val="(%1)"/>
      <w:numFmt w:val="lowerLetter"/>
      <w:start w:val="35"/>
    </w:lvl>
    <w:lvl w:ilvl="1">
      <w:lvlJc w:val="left"/>
      <w:lvlText w:val="(%2)"/>
      <w:numFmt w:val="lowerLetter"/>
      <w:start w:val="2"/>
    </w:lvl>
  </w:abstractNum>
  <w:abstractNum w:abstractNumId="75">
    <w:nsid w:val="519E3149"/>
    <w:multiLevelType w:val="hybridMultilevel"/>
    <w:lvl w:ilvl="0">
      <w:lvlJc w:val="left"/>
      <w:lvlText w:val="(%1)"/>
      <w:numFmt w:val="lowerLetter"/>
      <w:start w:val="1"/>
    </w:lvl>
  </w:abstractNum>
  <w:abstractNum w:abstractNumId="76">
    <w:nsid w:val="2C6E4AFD"/>
    <w:multiLevelType w:val="hybridMultilevel"/>
    <w:lvl w:ilvl="0">
      <w:lvlJc w:val="left"/>
      <w:lvlText w:val="(%1)"/>
      <w:numFmt w:val="lowerRoman"/>
      <w:start w:val="1"/>
    </w:lvl>
  </w:abstractNum>
  <w:abstractNum w:abstractNumId="77">
    <w:nsid w:val="17A1B582"/>
    <w:multiLevelType w:val="hybridMultilevel"/>
    <w:lvl w:ilvl="0">
      <w:lvlJc w:val="left"/>
      <w:lvlText w:val="(%1)"/>
      <w:numFmt w:val="lowerLetter"/>
      <w:start w:val="1"/>
    </w:lvl>
  </w:abstractNum>
  <w:abstractNum w:abstractNumId="78">
    <w:nsid w:val="4DF72E4E"/>
    <w:multiLevelType w:val="hybridMultilevel"/>
    <w:lvl w:ilvl="0">
      <w:lvlJc w:val="left"/>
      <w:lvlText w:val="(%1)"/>
      <w:numFmt w:val="lowerLetter"/>
      <w:start w:val="35"/>
    </w:lvl>
    <w:lvl w:ilvl="1">
      <w:lvlJc w:val="left"/>
      <w:lvlText w:val="(%2)"/>
      <w:numFmt w:val="lowerLetter"/>
      <w:start w:val="2"/>
    </w:lvl>
  </w:abstractNum>
  <w:abstractNum w:abstractNumId="79">
    <w:nsid w:val="5046B5A9"/>
    <w:multiLevelType w:val="hybridMultilevel"/>
    <w:lvl w:ilvl="0">
      <w:lvlJc w:val="left"/>
      <w:lvlText w:val="(%1)"/>
      <w:numFmt w:val="lowerLetter"/>
      <w:start w:val="1"/>
    </w:lvl>
  </w:abstractNum>
  <w:abstractNum w:abstractNumId="80">
    <w:nsid w:val="5D888A08"/>
    <w:multiLevelType w:val="hybridMultilevel"/>
    <w:lvl w:ilvl="0">
      <w:lvlJc w:val="left"/>
      <w:lvlText w:val="(%1)"/>
      <w:numFmt w:val="lowerLetter"/>
      <w:start w:val="3"/>
    </w:lvl>
  </w:abstractNum>
  <w:abstractNum w:abstractNumId="81">
    <w:nsid w:val="2A082C70"/>
    <w:multiLevelType w:val="hybridMultilevel"/>
    <w:lvl w:ilvl="0">
      <w:lvlJc w:val="left"/>
      <w:lvlText w:val="%1"/>
      <w:numFmt w:val="lowerLetter"/>
      <w:start w:val="1"/>
    </w:lvl>
    <w:lvl w:ilvl="1">
      <w:lvlJc w:val="left"/>
      <w:lvlText w:val="(%2)"/>
      <w:numFmt w:val="lowerLetter"/>
      <w:start w:val="13"/>
    </w:lvl>
  </w:abstractNum>
  <w:abstractNum w:abstractNumId="82">
    <w:nsid w:val="5EC6AFD4"/>
    <w:multiLevelType w:val="hybridMultilevel"/>
    <w:lvl w:ilvl="0">
      <w:lvlJc w:val="left"/>
      <w:lvlText w:val="(%1)"/>
      <w:numFmt w:val="lowerLetter"/>
      <w:start w:val="9"/>
    </w:lvl>
    <w:lvl w:ilvl="1">
      <w:lvlJc w:val="left"/>
      <w:lvlText w:val="(%2)"/>
      <w:numFmt w:val="lowerLetter"/>
      <w:start w:val="14"/>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lowerLetter"/>
      <w:start w:val="1"/>
    </w:lvl>
    <w:lvl w:ilvl="1">
      <w:lvlJc w:val="left"/>
      <w:lvlText w:val="(%2)"/>
      <w:numFmt w:val="lowerLetter"/>
      <w:start w:val="1"/>
    </w:lvl>
  </w:abstractNum>
  <w:abstractNum w:abstractNumId="85">
    <w:nsid w:val="57A61A29"/>
    <w:multiLevelType w:val="hybridMultilevel"/>
    <w:lvl w:ilvl="0">
      <w:lvlJc w:val="left"/>
      <w:lvlText w:val="(%1)"/>
      <w:numFmt w:val="lowerLetter"/>
      <w:start w:val="61"/>
    </w:lvl>
    <w:lvl w:ilvl="1">
      <w:lvlJc w:val="left"/>
      <w:lvlText w:val="(%2)"/>
      <w:numFmt w:val="lowerLetter"/>
      <w:start w:val="2"/>
    </w:lvl>
  </w:abstractNum>
  <w:abstractNum w:abstractNumId="86">
    <w:nsid w:val="5399C654"/>
    <w:multiLevelType w:val="hybridMultilevel"/>
    <w:lvl w:ilvl="0">
      <w:lvlJc w:val="left"/>
      <w:lvlText w:val="(%1)"/>
      <w:numFmt w:val="lowerLetter"/>
      <w:start w:val="3"/>
    </w:lvl>
  </w:abstractNum>
  <w:abstractNum w:abstractNumId="87">
    <w:nsid w:val="20EE1348"/>
    <w:multiLevelType w:val="hybridMultilevel"/>
    <w:lvl w:ilvl="0">
      <w:lvlJc w:val="left"/>
      <w:lvlText w:val="(%1)"/>
      <w:numFmt w:val="lowerLetter"/>
      <w:start w:val="1"/>
    </w:lvl>
  </w:abstractNum>
  <w:abstractNum w:abstractNumId="88">
    <w:nsid w:val="4427069A"/>
    <w:multiLevelType w:val="hybridMultilevel"/>
    <w:lvl w:ilvl="0">
      <w:lvlJc w:val="left"/>
      <w:lvlText w:val="(%1)"/>
      <w:numFmt w:val="lowerLetter"/>
      <w:start w:val="1"/>
    </w:lvl>
  </w:abstractNum>
  <w:abstractNum w:abstractNumId="89">
    <w:nsid w:val="B37E80A"/>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90">
    <w:nsid w:val="2157F6BC"/>
    <w:multiLevelType w:val="hybridMultilevel"/>
    <w:lvl w:ilvl="0">
      <w:lvlJc w:val="left"/>
      <w:lvlText w:val="%1"/>
      <w:numFmt w:val="lowerLetter"/>
      <w:start w:val="1"/>
    </w:lvl>
    <w:lvl w:ilvl="1">
      <w:lvlJc w:val="left"/>
      <w:lvlText w:val="(%2)"/>
      <w:numFmt w:val="lowerLetter"/>
      <w:start w:val="4"/>
    </w:lvl>
  </w:abstractNum>
  <w:abstractNum w:abstractNumId="91">
    <w:nsid w:val="704E1DD5"/>
    <w:multiLevelType w:val="hybridMultilevel"/>
    <w:lvl w:ilvl="0">
      <w:lvlJc w:val="left"/>
      <w:lvlText w:val="(%1)"/>
      <w:numFmt w:val="lowerLetter"/>
      <w:start w:val="35"/>
    </w:lvl>
    <w:lvl w:ilvl="1">
      <w:lvlJc w:val="left"/>
      <w:lvlText w:val="(%2)"/>
      <w:numFmt w:val="lowerLetter"/>
      <w:start w:val="5"/>
    </w:lvl>
  </w:abstractNum>
  <w:abstractNum w:abstractNumId="92">
    <w:nsid w:val="57D2F10E"/>
    <w:multiLevelType w:val="hybridMultilevel"/>
    <w:lvl w:ilvl="0">
      <w:lvlJc w:val="left"/>
      <w:lvlText w:val="(%1)"/>
      <w:numFmt w:val="lowerLetter"/>
      <w:start w:val="1"/>
    </w:lvl>
  </w:abstractNum>
  <w:abstractNum w:abstractNumId="93">
    <w:nsid w:val="BFFAE18"/>
    <w:multiLevelType w:val="hybridMultilevel"/>
    <w:lvl w:ilvl="0">
      <w:lvlJc w:val="left"/>
      <w:lvlText w:val="(%1)"/>
      <w:numFmt w:val="lowerRoman"/>
      <w:start w:val="1"/>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5"/>
    </w:lvl>
  </w:abstractNum>
  <w:abstractNum w:abstractNumId="96">
    <w:nsid w:val="49D0FEAC"/>
    <w:multiLevelType w:val="hybridMultilevel"/>
    <w:lvl w:ilvl="0">
      <w:lvlJc w:val="left"/>
      <w:lvlText w:val="%1"/>
      <w:numFmt w:val="decimal"/>
      <w:start w:val="1"/>
    </w:lvl>
    <w:lvl w:ilvl="1">
      <w:lvlJc w:val="left"/>
      <w:lvlText w:val="(%2)"/>
      <w:numFmt w:val="lowerLetter"/>
      <w:start w:val="1"/>
    </w:lvl>
  </w:abstractNum>
  <w:abstractNum w:abstractNumId="97">
    <w:nsid w:val="4BEE5A5B"/>
    <w:multiLevelType w:val="hybridMultilevel"/>
    <w:lvl w:ilvl="0">
      <w:lvlJc w:val="left"/>
      <w:lvlText w:val="(%1)"/>
      <w:numFmt w:val="decimal"/>
      <w:start w:val="90"/>
    </w:lvl>
    <w:lvl w:ilvl="1">
      <w:lvlJc w:val="left"/>
      <w:lvlText w:val="(%2)"/>
      <w:numFmt w:val="lowerLetter"/>
      <w:start w:val="4"/>
    </w:lvl>
  </w:abstractNum>
  <w:abstractNum w:abstractNumId="98">
    <w:nsid w:val="5551B9F3"/>
    <w:multiLevelType w:val="hybridMultilevel"/>
    <w:lvl w:ilvl="0">
      <w:lvlJc w:val="left"/>
      <w:lvlText w:val="(%1)"/>
      <w:numFmt w:val="lowerLetter"/>
      <w:start w:val="7"/>
    </w:lvl>
  </w:abstractNum>
  <w:abstractNum w:abstractNumId="99">
    <w:nsid w:val="24F6AB8E"/>
    <w:multiLevelType w:val="hybridMultilevel"/>
    <w:lvl w:ilvl="0">
      <w:lvlJc w:val="left"/>
      <w:lvlText w:val="(%1)"/>
      <w:numFmt w:val="lowerLetter"/>
      <w:start w:val="1"/>
    </w:lvl>
  </w:abstractNum>
  <w:abstractNum w:abstractNumId="100">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1">
    <w:nsid w:val="24E99DD7"/>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02">
    <w:nsid w:val="2A31B62D"/>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2"/>
    </w:lvl>
  </w:abstractNum>
  <w:abstractNum w:abstractNumId="103">
    <w:nsid w:val="1849C29B"/>
    <w:multiLevelType w:val="hybridMultilevel"/>
    <w:lvl w:ilvl="0">
      <w:lvlJc w:val="left"/>
      <w:lvlText w:val="(%1)"/>
      <w:numFmt w:val="lowerRoman"/>
      <w:start w:val="7"/>
    </w:lvl>
    <w:lvl w:ilvl="1">
      <w:lvlJc w:val="left"/>
      <w:lvlText w:val="%2"/>
      <w:numFmt w:val="upperLetter"/>
      <w:start w:val="1"/>
    </w:lvl>
    <w:lvl w:ilvl="2">
      <w:lvlJc w:val="left"/>
      <w:lvlText w:val="%3"/>
      <w:numFmt w:val="decimal"/>
      <w:start w:val="1"/>
    </w:lvl>
  </w:abstractNum>
  <w:abstractNum w:abstractNumId="104">
    <w:nsid w:val="7DFF9D09"/>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05">
    <w:nsid w:val="754342"/>
    <w:multiLevelType w:val="hybridMultilevel"/>
    <w:lvl w:ilvl="0">
      <w:lvlJc w:val="left"/>
      <w:lvlText w:val="%1"/>
      <w:numFmt w:val="lowerRoman"/>
      <w:start w:val="1"/>
    </w:lvl>
    <w:lvl w:ilvl="1">
      <w:lvlJc w:val="left"/>
      <w:lvlText w:val="%2)"/>
      <w:numFmt w:val="lowerLetter"/>
      <w:start w:val="2"/>
    </w:lvl>
  </w:abstractNum>
  <w:abstractNum w:abstractNumId="106">
    <w:nsid w:val="69E7F3E5"/>
    <w:multiLevelType w:val="hybridMultilevel"/>
    <w:lvl w:ilvl="0">
      <w:lvlJc w:val="left"/>
      <w:lvlText w:val="(%1)"/>
      <w:numFmt w:val="lowerRoman"/>
      <w:start w:val="10"/>
    </w:lvl>
    <w:lvl w:ilvl="1">
      <w:lvlJc w:val="left"/>
      <w:lvlText w:val="%2"/>
      <w:numFmt w:val="lowerLetter"/>
      <w:start w:val="1"/>
    </w:lvl>
  </w:abstractNum>
  <w:abstractNum w:abstractNumId="107">
    <w:nsid w:val="2A6DE806"/>
    <w:multiLevelType w:val="hybridMultilevel"/>
    <w:lvl w:ilvl="0">
      <w:lvlJc w:val="left"/>
      <w:lvlText w:val="(%1)"/>
      <w:numFmt w:val="lowerRoman"/>
      <w:start w:val="5"/>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1)"/>
      <w:numFmt w:val="lowerLetter"/>
      <w:start w:val="1"/>
    </w:lvl>
  </w:abstractNum>
  <w:abstractNum w:abstractNumId="110">
    <w:nsid w:val="7AB49DAF"/>
    <w:multiLevelType w:val="hybridMultilevel"/>
    <w:lvl w:ilvl="0">
      <w:lvlJc w:val="left"/>
      <w:lvlText w:val="%1"/>
      <w:numFmt w:val="lowerLetter"/>
      <w:start w:val="1"/>
    </w:lvl>
    <w:lvl w:ilvl="1">
      <w:lvlJc w:val="left"/>
      <w:lvlText w:val="(%2)"/>
      <w:numFmt w:val="lowerLetter"/>
      <w:start w:val="4"/>
    </w:lvl>
  </w:abstractNum>
  <w:abstractNum w:abstractNumId="111">
    <w:nsid w:val="759F82CD"/>
    <w:multiLevelType w:val="hybridMultilevel"/>
    <w:lvl w:ilvl="0">
      <w:lvlJc w:val="left"/>
      <w:lvlText w:val="(%1)"/>
      <w:numFmt w:val="lowerLetter"/>
      <w:start w:val="25"/>
    </w:lvl>
    <w:lvl w:ilvl="1">
      <w:lvlJc w:val="left"/>
      <w:lvlText w:val="(%2)"/>
      <w:numFmt w:val="lowerLetter"/>
      <w:start w:val="6"/>
    </w:lvl>
  </w:abstractNum>
  <w:abstractNum w:abstractNumId="112">
    <w:nsid w:val="61E74EA3"/>
    <w:multiLevelType w:val="hybridMultilevel"/>
    <w:lvl w:ilvl="0">
      <w:lvlJc w:val="left"/>
      <w:lvlText w:val="(%1)"/>
      <w:numFmt w:val="lowerLetter"/>
      <w:start w:val="35"/>
    </w:lvl>
    <w:lvl w:ilvl="1">
      <w:lvlJc w:val="left"/>
      <w:lvlText w:val="%2"/>
      <w:numFmt w:val="lowerLetter"/>
      <w:start w:val="1"/>
    </w:lvl>
  </w:abstractNum>
  <w:abstractNum w:abstractNumId="113">
    <w:nsid w:val="597B4D84"/>
    <w:multiLevelType w:val="hybridMultilevel"/>
    <w:lvl w:ilvl="0">
      <w:lvlJc w:val="left"/>
      <w:lvlText w:val="(%1)"/>
      <w:numFmt w:val="lowerLetter"/>
      <w:start w:val="61"/>
    </w:lvl>
    <w:lvl w:ilvl="1">
      <w:lvlJc w:val="left"/>
      <w:lvlText w:val="(%2)"/>
      <w:numFmt w:val="lowerLetter"/>
      <w:start w:val="10"/>
    </w:lvl>
  </w:abstractNum>
  <w:abstractNum w:abstractNumId="114">
    <w:nsid w:val="F819E7F"/>
    <w:multiLevelType w:val="hybridMultilevel"/>
    <w:lvl w:ilvl="0">
      <w:lvlJc w:val="left"/>
      <w:lvlText w:val="(%1)"/>
      <w:numFmt w:val="lowerLetter"/>
      <w:start w:val="11"/>
    </w:lvl>
  </w:abstractNum>
  <w:abstractNum w:abstractNumId="115">
    <w:nsid w:val="57C7D42D"/>
    <w:multiLevelType w:val="hybridMultilevel"/>
    <w:lvl w:ilvl="0">
      <w:lvlJc w:val="left"/>
      <w:lvlText w:val="(%1)"/>
      <w:numFmt w:val="lowerLetter"/>
      <w:start w:val="19"/>
    </w:lvl>
  </w:abstractNum>
  <w:abstractNum w:abstractNumId="116">
    <w:nsid w:val="312167AD"/>
    <w:multiLevelType w:val="hybridMultilevel"/>
    <w:lvl w:ilvl="0">
      <w:lvlJc w:val="left"/>
      <w:lvlText w:val="(%1)"/>
      <w:numFmt w:val="lowerLetter"/>
      <w:start w:val="22"/>
    </w:lvl>
  </w:abstractNum>
  <w:abstractNum w:abstractNumId="117">
    <w:nsid w:val="631B64D4"/>
    <w:multiLevelType w:val="hybridMultilevel"/>
    <w:lvl w:ilvl="0">
      <w:lvlJc w:val="left"/>
      <w:lvlText w:val="%1"/>
      <w:numFmt w:val="lowerLetter"/>
      <w:start w:val="1"/>
    </w:lvl>
    <w:lvl w:ilvl="1">
      <w:lvlJc w:val="left"/>
      <w:lvlText w:val="(%2)"/>
      <w:numFmt w:val="lowerLetter"/>
      <w:start w:val="1"/>
    </w:lvl>
  </w:abstractNum>
  <w:abstractNum w:abstractNumId="118">
    <w:nsid w:val="78B5E776"/>
    <w:multiLevelType w:val="hybridMultilevel"/>
    <w:lvl w:ilvl="0">
      <w:lvlJc w:val="left"/>
      <w:lvlText w:val="(%1)"/>
      <w:numFmt w:val="lowerLetter"/>
      <w:start w:val="9"/>
    </w:lvl>
    <w:lvl w:ilvl="1">
      <w:lvlJc w:val="left"/>
      <w:lvlText w:val="%2"/>
      <w:numFmt w:val="lowerLetter"/>
      <w:start w:val="1"/>
    </w:lvl>
  </w:abstractNum>
  <w:abstractNum w:abstractNumId="119">
    <w:nsid w:val="75486E47"/>
    <w:multiLevelType w:val="hybridMultilevel"/>
    <w:lvl w:ilvl="0">
      <w:lvlJc w:val="left"/>
      <w:lvlText w:val="(%1)"/>
      <w:numFmt w:val="lowerLetter"/>
      <w:start w:val="3"/>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1"/>
    </w:lvl>
    <w:lvl w:ilvl="1">
      <w:lvlJc w:val="left"/>
      <w:lvlText w:val="(%2)"/>
      <w:numFmt w:val="lowerLetter"/>
      <w:start w:val="2"/>
    </w:lvl>
  </w:abstractNum>
  <w:abstractNum w:abstractNumId="123">
    <w:nsid w:val="46263DEC"/>
    <w:multiLevelType w:val="hybridMultilevel"/>
    <w:lvl w:ilvl="0">
      <w:lvlJc w:val="left"/>
      <w:lvlText w:val="(%1)"/>
      <w:numFmt w:val="lowerLetter"/>
      <w:start w:val="3"/>
    </w:lvl>
    <w:lvl w:ilvl="1">
      <w:lvlJc w:val="left"/>
      <w:lvlText w:val="%2"/>
      <w:numFmt w:val="lowerLetter"/>
      <w:start w:val="1"/>
    </w:lvl>
  </w:abstractNum>
  <w:abstractNum w:abstractNumId="124">
    <w:nsid w:val="260D8C4A"/>
    <w:multiLevelType w:val="hybridMultilevel"/>
    <w:lvl w:ilvl="0">
      <w:lvlJc w:val="left"/>
      <w:lvlText w:val="(%1)"/>
      <w:numFmt w:val="lowerLetter"/>
      <w:start w:val="1"/>
    </w:lvl>
  </w:abstractNum>
  <w:abstractNum w:abstractNumId="125">
    <w:nsid w:val="73D4D3C4"/>
    <w:multiLevelType w:val="hybridMultilevel"/>
    <w:lvl w:ilvl="0">
      <w:lvlJc w:val="left"/>
      <w:lvlText w:val="(%1)"/>
      <w:numFmt w:val="lowerLetter"/>
      <w:start w:val="3"/>
    </w:lvl>
  </w:abstractNum>
  <w:abstractNum w:abstractNumId="126">
    <w:nsid w:val="746F2E30"/>
    <w:multiLevelType w:val="hybridMultilevel"/>
    <w:lvl w:ilvl="0">
      <w:lvlJc w:val="left"/>
      <w:lvlText w:val="(%1)"/>
      <w:numFmt w:val="lowerLetter"/>
      <w:start w:val="1"/>
    </w:lvl>
  </w:abstractNum>
  <w:abstractNum w:abstractNumId="127">
    <w:nsid w:val="6FDE8AF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8">
    <w:nsid w:val="3FC32E20"/>
    <w:multiLevelType w:val="hybridMultilevel"/>
    <w:lvl w:ilvl="0">
      <w:lvlJc w:val="left"/>
      <w:lvlText w:val="(%1)"/>
      <w:numFmt w:val="lowerRoman"/>
      <w:start w:val="3"/>
    </w:lvl>
  </w:abstractNum>
  <w:abstractNum w:abstractNumId="129">
    <w:nsid w:val="49C0E823"/>
    <w:multiLevelType w:val="hybridMultilevel"/>
    <w:lvl w:ilvl="0">
      <w:lvlJc w:val="left"/>
      <w:lvlText w:val="(%1)"/>
      <w:numFmt w:val="lowerLetter"/>
      <w:start w:val="3"/>
    </w:lvl>
  </w:abstractNum>
  <w:abstractNum w:abstractNumId="130">
    <w:nsid w:val="14D53685"/>
    <w:multiLevelType w:val="hybridMultilevel"/>
    <w:lvl w:ilvl="0">
      <w:lvlJc w:val="left"/>
      <w:lvlText w:val="(%1)"/>
      <w:numFmt w:val="upperLetter"/>
      <w:start w:val="3"/>
    </w:lvl>
    <w:lvl w:ilvl="1">
      <w:lvlJc w:val="left"/>
      <w:lvlText w:val="(%2)"/>
      <w:numFmt w:val="lowerLetter"/>
      <w:start w:val="3"/>
    </w:lvl>
    <w:lvl w:ilvl="2">
      <w:lvlJc w:val="left"/>
      <w:lvlText w:val="(%3)"/>
      <w:numFmt w:val="lowerLetter"/>
      <w:start w:val="35"/>
    </w:lvl>
  </w:abstractNum>
  <w:abstractNum w:abstractNumId="131">
    <w:nsid w:val="230F856C"/>
    <w:multiLevelType w:val="hybridMultilevel"/>
    <w:lvl w:ilvl="0">
      <w:lvlJc w:val="left"/>
      <w:lvlText w:val="(%1)"/>
      <w:numFmt w:val="lowerRoman"/>
      <w:start w:val="2"/>
    </w:lvl>
    <w:lvl w:ilvl="1">
      <w:lvlJc w:val="left"/>
      <w:lvlText w:val="(%2)"/>
      <w:numFmt w:val="upperLetter"/>
      <w:start w:val="1"/>
    </w:lvl>
  </w:abstractNum>
  <w:abstractNum w:abstractNumId="132">
    <w:nsid w:val="6EAA85FB"/>
    <w:multiLevelType w:val="hybridMultilevel"/>
    <w:lvl w:ilvl="0">
      <w:lvlJc w:val="left"/>
      <w:lvlText w:val="(%1)"/>
      <w:numFmt w:val="lowerLetter"/>
      <w:start w:val="2"/>
    </w:lvl>
  </w:abstractNum>
  <w:abstractNum w:abstractNumId="133">
    <w:nsid w:val="3F06ECB2"/>
    <w:multiLevelType w:val="hybridMultilevel"/>
    <w:lvl w:ilvl="0">
      <w:lvlJc w:val="left"/>
      <w:lvlText w:val="(%1)"/>
      <w:numFmt w:val="lowerLetter"/>
      <w:start w:val="3"/>
    </w:lvl>
  </w:abstractNum>
  <w:abstractNum w:abstractNumId="134">
    <w:nsid w:val="3B594807"/>
    <w:multiLevelType w:val="hybridMultilevel"/>
    <w:lvl w:ilvl="0">
      <w:lvlJc w:val="left"/>
      <w:lvlText w:val="(%1)"/>
      <w:numFmt w:val="lowerLetter"/>
      <w:start w:val="2"/>
    </w:lvl>
  </w:abstractNum>
  <w:abstractNum w:abstractNumId="135">
    <w:nsid w:val="6CAA2304"/>
    <w:multiLevelType w:val="hybridMultilevel"/>
    <w:lvl w:ilvl="0">
      <w:lvlJc w:val="left"/>
      <w:lvlText w:val="(%1)"/>
      <w:numFmt w:val="lowerLetter"/>
      <w:start w:val="1"/>
    </w:lvl>
  </w:abstractNum>
  <w:abstractNum w:abstractNumId="136">
    <w:nsid w:val="3F7C2FF4"/>
    <w:multiLevelType w:val="hybridMultilevel"/>
    <w:lvl w:ilvl="0">
      <w:lvlJc w:val="left"/>
      <w:lvlText w:val="(%1)"/>
      <w:numFmt w:val="lowerLetter"/>
      <w:start w:val="2"/>
    </w:lvl>
  </w:abstractNum>
  <w:abstractNum w:abstractNumId="137">
    <w:nsid w:val="25413BEC"/>
    <w:multiLevelType w:val="hybridMultilevel"/>
    <w:lvl w:ilvl="0">
      <w:lvlJc w:val="left"/>
      <w:lvlText w:val="(%1)"/>
      <w:numFmt w:val="lowerRoman"/>
      <w:start w:val="1"/>
    </w:lvl>
  </w:abstractNum>
  <w:abstractNum w:abstractNumId="138">
    <w:nsid w:val="17180B0B"/>
    <w:multiLevelType w:val="hybridMultilevel"/>
    <w:lvl w:ilvl="0">
      <w:lvlJc w:val="left"/>
      <w:lvlText w:val="%1."/>
      <w:numFmt w:val="decimal"/>
      <w:start w:val="1"/>
    </w:lvl>
  </w:abstractNum>
  <w:abstractNum w:abstractNumId="139">
    <w:nsid w:val="579328B9"/>
    <w:multiLevelType w:val="hybridMultilevel"/>
    <w:lvl w:ilvl="0">
      <w:lvlJc w:val="left"/>
      <w:lvlText w:val="1"/>
      <w:numFmt w:val="bullet"/>
      <w:start w:val="1"/>
    </w:lvl>
  </w:abstractNum>
  <w:abstractNum w:abstractNumId="140">
    <w:nsid w:val="5D205E20"/>
    <w:multiLevelType w:val="hybridMultilevel"/>
    <w:lvl w:ilvl="0">
      <w:lvlJc w:val="left"/>
      <w:lvlText w:val="%1."/>
      <w:numFmt w:val="decimal"/>
      <w:start w:val="6"/>
    </w:lvl>
  </w:abstractNum>
  <w:abstractNum w:abstractNumId="141">
    <w:nsid w:val="11CCA8BA"/>
    <w:multiLevelType w:val="hybridMultilevel"/>
    <w:lvl w:ilvl="0">
      <w:lvlJc w:val="left"/>
      <w:lvlText w:val="4"/>
      <w:numFmt w:val="bullet"/>
      <w:start w:val="1"/>
    </w:lvl>
  </w:abstractNum>
  <w:abstractNum w:abstractNumId="142">
    <w:nsid w:val="4D32AB86"/>
    <w:multiLevelType w:val="hybridMultilevel"/>
    <w:lvl w:ilvl="0">
      <w:lvlJc w:val="left"/>
      <w:lvlText w:val="5"/>
      <w:numFmt w:val="bullet"/>
      <w:start w:val="1"/>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1)"/>
      <w:numFmt w:val="lowerRoman"/>
      <w:start w:val="3"/>
    </w:lvl>
  </w:abstractNum>
  <w:abstractNum w:abstractNumId="145">
    <w:nsid w:val="5CB44A05"/>
    <w:multiLevelType w:val="hybridMultilevel"/>
    <w:lvl w:ilvl="0">
      <w:lvlJc w:val="left"/>
      <w:lvlText w:val="%1."/>
      <w:numFmt w:val="decimal"/>
      <w:start w:val="2"/>
    </w:lvl>
  </w:abstractNum>
  <w:abstractNum w:abstractNumId="146">
    <w:nsid w:val="16CF80F1"/>
    <w:multiLevelType w:val="hybridMultilevel"/>
    <w:lvl w:ilvl="0">
      <w:lvlJc w:val="left"/>
      <w:lvlText w:val="%1."/>
      <w:numFmt w:val="decimal"/>
      <w:start w:val="3"/>
    </w:lvl>
  </w:abstractNum>
  <w:abstractNum w:abstractNumId="147">
    <w:nsid w:val="1C695DEC"/>
    <w:multiLevelType w:val="hybridMultilevel"/>
    <w:lvl w:ilvl="0">
      <w:lvlJc w:val="left"/>
      <w:lvlText w:val="%1."/>
      <w:numFmt w:val="decimal"/>
      <w:start w:val="1"/>
    </w:lvl>
  </w:abstractNum>
  <w:abstractNum w:abstractNumId="148">
    <w:nsid w:val="3FCFAED9"/>
    <w:multiLevelType w:val="hybridMultilevel"/>
    <w:lvl w:ilvl="0">
      <w:lvlJc w:val="left"/>
      <w:lvlText w:val="%1."/>
      <w:numFmt w:val="decimal"/>
      <w:start w:val="1"/>
    </w:lvl>
  </w:abstractNum>
  <w:abstractNum w:abstractNumId="149">
    <w:nsid w:val="F856867"/>
    <w:multiLevelType w:val="hybridMultilevel"/>
    <w:lvl w:ilvl="0">
      <w:lvlJc w:val="left"/>
      <w:lvlText w:val="%1."/>
      <w:numFmt w:val="decimal"/>
      <w:start w:val="7"/>
    </w:lvl>
  </w:abstractNum>
  <w:abstractNum w:abstractNumId="150">
    <w:nsid w:val="11B1CC33"/>
    <w:multiLevelType w:val="hybridMultilevel"/>
    <w:lvl w:ilvl="0">
      <w:lvlJc w:val="left"/>
      <w:lvlText w:val="%1."/>
      <w:numFmt w:val="decimal"/>
      <w:start w:val="9"/>
    </w:lvl>
  </w:abstractNum>
  <w:abstractNum w:abstractNumId="151">
    <w:nsid w:val="2E22FBB7"/>
    <w:multiLevelType w:val="hybridMultilevel"/>
    <w:lvl w:ilvl="0">
      <w:lvlJc w:val="left"/>
      <w:lvlText w:val="(%1)"/>
      <w:numFmt w:val="decimal"/>
      <w:start w:val="2"/>
    </w:lvl>
  </w:abstractNum>
  <w:abstractNum w:abstractNumId="152">
    <w:nsid w:val="29934699"/>
    <w:multiLevelType w:val="hybridMultilevel"/>
    <w:lvl w:ilvl="0">
      <w:lvlJc w:val="left"/>
      <w:lvlText w:val="%1."/>
      <w:numFmt w:val="decimal"/>
      <w:start w:val="1"/>
    </w:lvl>
  </w:abstractNum>
  <w:abstractNum w:abstractNumId="153">
    <w:nsid w:val="77485850"/>
    <w:multiLevelType w:val="hybridMultilevel"/>
    <w:lvl w:ilvl="0">
      <w:lvlJc w:val="left"/>
      <w:lvlText w:val="%1."/>
      <w:numFmt w:val="upperLetter"/>
      <w:start w:val="1"/>
    </w:lvl>
    <w:lvl w:ilvl="1">
      <w:lvlJc w:val="left"/>
      <w:lvlText w:val="%2."/>
      <w:numFmt w:val="decimal"/>
      <w:start w:val="1"/>
    </w:lvl>
  </w:abstractNum>
  <w:abstractNum w:abstractNumId="154">
    <w:nsid w:val="744939A3"/>
    <w:multiLevelType w:val="hybridMultilevel"/>
    <w:lvl w:ilvl="0">
      <w:lvlJc w:val="left"/>
      <w:lvlText w:val="%1."/>
      <w:numFmt w:val="upperLetter"/>
      <w:start w:val="1"/>
    </w:lvl>
  </w:abstractNum>
  <w:abstractNum w:abstractNumId="155">
    <w:nsid w:val="4FA0D2E3"/>
    <w:multiLevelType w:val="hybridMultilevel"/>
    <w:lvl w:ilvl="0">
      <w:lvlJc w:val="left"/>
      <w:lvlText w:val="%1."/>
      <w:numFmt w:val="upperLetter"/>
      <w:start w:val="6"/>
    </w:lvl>
  </w:abstractNum>
  <w:abstractNum w:abstractNumId="156">
    <w:nsid w:val="6B1D2C14"/>
    <w:multiLevelType w:val="hybridMultilevel"/>
    <w:lvl w:ilvl="0">
      <w:lvlJc w:val="left"/>
      <w:lvlText w:val="%1."/>
      <w:numFmt w:val="decimal"/>
      <w:start w:val="1"/>
    </w:lvl>
  </w:abstractNum>
  <w:abstractNum w:abstractNumId="157">
    <w:nsid w:val="68B867D3"/>
    <w:multiLevelType w:val="hybridMultilevel"/>
    <w:lvl w:ilvl="0">
      <w:lvlJc w:val="left"/>
      <w:lvlText w:val="%1."/>
      <w:numFmt w:val="decimal"/>
      <w:start w:val="1"/>
    </w:lvl>
    <w:lvl w:ilvl="1">
      <w:lvlJc w:val="left"/>
      <w:lvlText w:val="%2)"/>
      <w:numFmt w:val="decimal"/>
      <w:start w:val="1"/>
    </w:lvl>
  </w:abstractNum>
  <w:abstractNum w:abstractNumId="158">
    <w:nsid w:val="3F7F5DD9"/>
    <w:multiLevelType w:val="hybridMultilevel"/>
    <w:lvl w:ilvl="0">
      <w:lvlJc w:val="left"/>
      <w:lvlText w:val="%1."/>
      <w:numFmt w:val="decimal"/>
      <w:start w:val="1"/>
    </w:lvl>
  </w:abstractNum>
  <w:abstractNum w:abstractNumId="159">
    <w:nsid w:val="2AE05A34"/>
    <w:multiLevelType w:val="hybridMultilevel"/>
    <w:lvl w:ilvl="0">
      <w:lvlJc w:val="left"/>
      <w:lvlText w:val="%1."/>
      <w:numFmt w:val="decimal"/>
      <w:start w:val="1"/>
    </w:lvl>
  </w:abstractNum>
  <w:abstractNum w:abstractNumId="160">
    <w:nsid w:val="32794FF7"/>
    <w:multiLevelType w:val="hybridMultilevel"/>
    <w:lvl w:ilvl="0">
      <w:lvlJc w:val="left"/>
      <w:lvlText w:val="%1."/>
      <w:numFmt w:val="decimal"/>
      <w:start w:val="1"/>
    </w:lvl>
  </w:abstractNum>
  <w:abstractNum w:abstractNumId="161">
    <w:nsid w:val="5454945E"/>
    <w:multiLevelType w:val="hybridMultilevel"/>
    <w:lvl w:ilvl="0">
      <w:lvlJc w:val="left"/>
      <w:lvlText w:val="%1."/>
      <w:numFmt w:val="decimal"/>
      <w:start w:val="1"/>
    </w:lvl>
  </w:abstractNum>
  <w:abstractNum w:abstractNumId="162">
    <w:nsid w:val="4DEFDFA0"/>
    <w:multiLevelType w:val="hybridMultilevel"/>
    <w:lvl w:ilvl="0">
      <w:lvlJc w:val="left"/>
      <w:lvlText w:val="%1."/>
      <w:numFmt w:val="decimal"/>
      <w:start w:val="1"/>
    </w:lvl>
  </w:abstractNum>
  <w:abstractNum w:abstractNumId="163">
    <w:nsid w:val="2123D5F2"/>
    <w:multiLevelType w:val="hybridMultilevel"/>
    <w:lvl w:ilvl="0">
      <w:lvlJc w:val="left"/>
      <w:lvlText w:val="%1."/>
      <w:numFmt w:val="upperLetter"/>
      <w:start w:val="1"/>
    </w:lvl>
  </w:abstractNum>
  <w:abstractNum w:abstractNumId="164">
    <w:nsid w:val="135B8110"/>
    <w:multiLevelType w:val="hybridMultilevel"/>
    <w:lvl w:ilvl="0">
      <w:lvlJc w:val="left"/>
      <w:lvlText w:val="%1."/>
      <w:numFmt w:val="upperLetter"/>
      <w:start w:val="3"/>
    </w:lvl>
  </w:abstractNum>
  <w:abstractNum w:abstractNumId="165">
    <w:nsid w:val="94927A8"/>
    <w:multiLevelType w:val="hybridMultilevel"/>
    <w:lvl w:ilvl="0">
      <w:lvlJc w:val="left"/>
      <w:lvlText w:val="%1."/>
      <w:numFmt w:val="upperLetter"/>
      <w:start w:val="1"/>
    </w:lvl>
  </w:abstractNum>
  <w:abstractNum w:abstractNumId="166">
    <w:nsid w:val="DCDF8F6"/>
    <w:multiLevelType w:val="hybridMultilevel"/>
    <w:lvl w:ilvl="0">
      <w:lvlJc w:val="left"/>
      <w:lvlText w:val="%1."/>
      <w:numFmt w:val="upperLetter"/>
      <w:start w:val="1"/>
    </w:lvl>
  </w:abstractNum>
  <w:abstractNum w:abstractNumId="167">
    <w:nsid w:val="52D7B105"/>
    <w:multiLevelType w:val="hybridMultilevel"/>
    <w:lvl w:ilvl="0">
      <w:lvlJc w:val="left"/>
      <w:lvlText w:val="%1."/>
      <w:numFmt w:val="upperLetter"/>
      <w:start w:val="6"/>
    </w:lvl>
  </w:abstractNum>
  <w:abstractNum w:abstractNumId="168">
    <w:nsid w:val="2E8A6394"/>
    <w:multiLevelType w:val="hybridMultilevel"/>
    <w:lvl w:ilvl="0">
      <w:lvlJc w:val="left"/>
      <w:lvlText w:val="@"/>
      <w:numFmt w:val="bullet"/>
      <w:start w:val="1"/>
    </w:lvl>
  </w:abstractNum>
  <w:abstractNum w:abstractNumId="169">
    <w:nsid w:val="24E60401"/>
    <w:multiLevelType w:val="hybridMultilevel"/>
    <w:lvl w:ilvl="0">
      <w:lvlJc w:val="left"/>
      <w:lvlText w:val="@"/>
      <w:numFmt w:val="bullet"/>
      <w:start w:val="1"/>
    </w:lvl>
  </w:abstractNum>
  <w:abstractNum w:abstractNumId="170">
    <w:nsid w:val="2A6AD9BE"/>
    <w:multiLevelType w:val="hybridMultilevel"/>
    <w:lvl w:ilvl="0">
      <w:lvlJc w:val="left"/>
      <w:lvlText w:val="@"/>
      <w:numFmt w:val="bullet"/>
      <w:start w:val="1"/>
    </w:lvl>
  </w:abstractNum>
  <w:abstractNum w:abstractNumId="171">
    <w:nsid w:val="BAAC1B4"/>
    <w:multiLevelType w:val="hybridMultilevel"/>
    <w:lvl w:ilvl="0">
      <w:lvlJc w:val="left"/>
      <w:lvlText w:val="***"/>
      <w:numFmt w:val="bullet"/>
      <w:start w:val="1"/>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2019-12-10T10:19:04Z</dcterms:created>
  <dcterms:modified xsi:type="dcterms:W3CDTF">2019-12-10T10:19:04Z</dcterms:modified>
</cp:coreProperties>
</file>