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213" w:lineRule="exact"/>
        <w:rPr>
          <w:sz w:val="24"/>
          <w:szCs w:val="24"/>
          <w:color w:val="auto"/>
        </w:rPr>
      </w:pPr>
    </w:p>
    <w:p>
      <w:pPr>
        <w:ind w:left="3520"/>
        <w:spacing w:after="0"/>
        <w:tabs>
          <w:tab w:leader="none" w:pos="6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1-15461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MATRIX SERVICE COMPANY</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86" w:lineRule="exact"/>
        <w:rPr>
          <w:sz w:val="24"/>
          <w:szCs w:val="24"/>
          <w:color w:val="auto"/>
        </w:rPr>
      </w:pPr>
    </w:p>
    <w:p>
      <w:pPr>
        <w:ind w:left="2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73-1352174</w:t>
      </w:r>
    </w:p>
    <w:p>
      <w:pPr>
        <w:spacing w:after="0" w:line="55" w:lineRule="exact"/>
        <w:rPr>
          <w:sz w:val="24"/>
          <w:szCs w:val="24"/>
          <w:color w:val="auto"/>
        </w:rPr>
      </w:pPr>
    </w:p>
    <w:p>
      <w:pPr>
        <w:sectPr>
          <w:pgSz w:w="11900" w:h="16838" w:orient="portrait"/>
          <w:cols w:equalWidth="0" w:num="2">
            <w:col w:w="7540" w:space="720"/>
            <w:col w:w="3160"/>
          </w:cols>
          <w:pgMar w:left="240" w:top="230" w:right="239" w:bottom="1440" w:gutter="0" w:footer="0" w:header="0"/>
          <w:type w:val="continuous"/>
        </w:sect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w:t>
      </w:r>
    </w:p>
    <w:p>
      <w:pPr>
        <w:spacing w:after="0" w:line="13" w:lineRule="exact"/>
        <w:rPr>
          <w:sz w:val="24"/>
          <w:szCs w:val="24"/>
          <w:color w:val="auto"/>
        </w:rPr>
      </w:pPr>
    </w:p>
    <w:p>
      <w:pPr>
        <w:sectPr>
          <w:pgSz w:w="11900" w:h="16838" w:orient="portrait"/>
          <w:cols w:equalWidth="0" w:num="2">
            <w:col w:w="7480" w:space="720"/>
            <w:col w:w="3220"/>
          </w:cols>
          <w:pgMar w:left="240" w:top="230" w:right="239" w:bottom="1440" w:gutter="0" w:footer="0" w:header="0"/>
          <w:type w:val="continuous"/>
        </w:sectPr>
      </w:pPr>
    </w:p>
    <w:p>
      <w:pPr>
        <w:ind w:left="8160"/>
        <w:spacing w:after="0"/>
        <w:rPr>
          <w:sz w:val="20"/>
          <w:szCs w:val="20"/>
          <w:color w:val="auto"/>
        </w:rPr>
      </w:pPr>
      <w:r>
        <w:rPr>
          <w:rFonts w:ascii="Arial" w:cs="Arial" w:eastAsia="Arial" w:hAnsi="Arial"/>
          <w:sz w:val="14"/>
          <w:szCs w:val="14"/>
          <w:b w:val="1"/>
          <w:bCs w:val="1"/>
          <w:color w:val="auto"/>
        </w:rPr>
        <w:t>Identification No.)</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5100 East Skelly Drive, Suite 700, Tulsa, Oklahoma 74135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(918) 838-8822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 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680"/>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As of May 1, 2012 there were 27,888,217 shares of the Company’s common stock, $0.01 par value per share, issued and 25,730,962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50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3"/>
        </w:trPr>
        <w:tc>
          <w:tcPr>
            <w:tcW w:w="1000" w:type="dxa"/>
            <w:vAlign w:val="bottom"/>
            <w:gridSpan w:val="2"/>
            <w:vMerge w:val="continue"/>
          </w:tcPr>
          <w:p>
            <w:pPr>
              <w:spacing w:after="0"/>
              <w:rPr>
                <w:sz w:val="14"/>
                <w:szCs w:val="14"/>
                <w:color w:val="auto"/>
              </w:rPr>
            </w:pPr>
          </w:p>
        </w:tc>
        <w:tc>
          <w:tcPr>
            <w:tcW w:w="9500" w:type="dxa"/>
            <w:vAlign w:val="bottom"/>
            <w:gridSpan w:val="18"/>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90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Statements of Income for the Three and Nine Months Ended March 31, 2012 and 2011</w:t>
              </w:r>
            </w:hyperlink>
          </w:p>
        </w:tc>
        <w:tc>
          <w:tcPr>
            <w:tcW w:w="1600" w:type="dxa"/>
            <w:vAlign w:val="bottom"/>
            <w:gridSpan w:val="3"/>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00" w:type="dxa"/>
            <w:vAlign w:val="bottom"/>
            <w:gridSpan w:val="18"/>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Comprehensive Income for the Three and Nine Months Ended March 31, 2012 and 2011</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40" w:type="dxa"/>
            <w:vAlign w:val="bottom"/>
            <w:tcBorders>
              <w:top w:val="single" w:sz="8" w:color="0000EE"/>
            </w:tcBorders>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March 31, 2012 and June 30, 2011</w:t>
              </w:r>
            </w:hyperlink>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0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Nine Months Ended March 31, 2012 and 2011</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Condensed Consolidated Statements of Changes in Stockholders’ Equity for the Nine Months Ended March 31, 2012 and 2011</w:t>
              </w:r>
            </w:hyperlink>
          </w:p>
        </w:tc>
        <w:tc>
          <w:tcPr>
            <w:tcW w:w="560" w:type="dxa"/>
            <w:vAlign w:val="bottom"/>
            <w:gridSpan w:val="2"/>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500" w:type="dxa"/>
            <w:vAlign w:val="bottom"/>
            <w:gridSpan w:val="18"/>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00" w:type="dxa"/>
            <w:vAlign w:val="bottom"/>
            <w:gridSpan w:val="1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200" w:type="dxa"/>
            <w:vAlign w:val="bottom"/>
            <w:gridSpan w:val="5"/>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Controls and Procedures</w:t>
              </w:r>
            </w:hyperlink>
          </w:p>
        </w:tc>
        <w:tc>
          <w:tcPr>
            <w:tcW w:w="7740" w:type="dxa"/>
            <w:vAlign w:val="bottom"/>
            <w:gridSpan w:val="12"/>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OTHER INFORMATION</w:t>
              </w:r>
            </w:hyperlink>
          </w:p>
        </w:tc>
        <w:tc>
          <w:tcPr>
            <w:tcW w:w="7520" w:type="dxa"/>
            <w:vAlign w:val="bottom"/>
            <w:gridSpan w:val="11"/>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Risk Factors</w:t>
              </w:r>
            </w:hyperlink>
          </w:p>
        </w:tc>
        <w:tc>
          <w:tcPr>
            <w:tcW w:w="400" w:type="dxa"/>
            <w:vAlign w:val="bottom"/>
            <w:tcBorders>
              <w:top w:val="single" w:sz="8" w:color="0000EE"/>
            </w:tcBorders>
            <w:gridSpan w:val="2"/>
          </w:tcPr>
          <w:p>
            <w:pPr>
              <w:spacing w:after="0"/>
              <w:rPr>
                <w:sz w:val="24"/>
                <w:szCs w:val="24"/>
                <w:color w:val="auto"/>
              </w:rPr>
            </w:pPr>
          </w:p>
        </w:tc>
        <w:tc>
          <w:tcPr>
            <w:tcW w:w="8200" w:type="dxa"/>
            <w:vAlign w:val="bottom"/>
            <w:gridSpan w:val="14"/>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0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Unregistered Sales of Equity Securities and Use of Proceeds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Defaults Upon Senior Securities</w:t>
              </w:r>
            </w:hyperlink>
          </w:p>
        </w:tc>
        <w:tc>
          <w:tcPr>
            <w:tcW w:w="1900" w:type="dxa"/>
            <w:vAlign w:val="bottom"/>
            <w:tcBorders>
              <w:top w:val="single" w:sz="8" w:color="0000EE"/>
            </w:tcBorders>
            <w:gridSpan w:val="2"/>
          </w:tcPr>
          <w:p>
            <w:pPr>
              <w:spacing w:after="0"/>
              <w:rPr>
                <w:sz w:val="24"/>
                <w:szCs w:val="24"/>
                <w:color w:val="auto"/>
              </w:rPr>
            </w:pPr>
          </w:p>
        </w:tc>
        <w:tc>
          <w:tcPr>
            <w:tcW w:w="5260" w:type="dxa"/>
            <w:vAlign w:val="bottom"/>
            <w:gridSpan w:val="8"/>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Mine Safety Disclosures</w:t>
              </w:r>
            </w:hyperlink>
          </w:p>
        </w:tc>
        <w:tc>
          <w:tcPr>
            <w:tcW w:w="7760" w:type="dxa"/>
            <w:vAlign w:val="bottom"/>
            <w:gridSpan w:val="13"/>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500" w:type="dxa"/>
            <w:vAlign w:val="bottom"/>
            <w:gridSpan w:val="1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Other Information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8220" w:type="dxa"/>
            <w:vAlign w:val="bottom"/>
            <w:gridSpan w:val="15"/>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Signature</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60" w:type="dxa"/>
            <w:vAlign w:val="bottom"/>
            <w:tcBorders>
              <w:top w:val="single" w:sz="8" w:color="auto"/>
            </w:tcBorders>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95"/>
              </w:rPr>
              <w:t>March 31,</w:t>
            </w: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Borders>
              <w:top w:val="single" w:sz="8" w:color="auto"/>
            </w:tcBorders>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95"/>
              </w:rPr>
              <w:t>March 31,</w:t>
            </w: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40" w:type="dxa"/>
            <w:vAlign w:val="bottom"/>
            <w:tcBorders>
              <w:bottom w:val="single" w:sz="8" w:color="CCEEFF"/>
            </w:tcBorders>
          </w:tcPr>
          <w:p>
            <w:pPr>
              <w:spacing w:after="0"/>
              <w:rPr>
                <w:sz w:val="14"/>
                <w:szCs w:val="14"/>
                <w:color w:val="auto"/>
              </w:rPr>
            </w:pPr>
          </w:p>
        </w:tc>
        <w:tc>
          <w:tcPr>
            <w:tcW w:w="19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183,899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136,333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554,184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463,423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Cost of revenues</w:t>
            </w:r>
          </w:p>
        </w:tc>
        <w:tc>
          <w:tcPr>
            <w:tcW w:w="1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164,128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117,763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493,222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409,383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60,962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35,737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25,225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21,385</w:t>
            </w:r>
          </w:p>
        </w:tc>
        <w:tc>
          <w:tcPr>
            <w:tcW w:w="0" w:type="dxa"/>
            <w:vAlign w:val="bottom"/>
          </w:tcPr>
          <w:p>
            <w:pPr>
              <w:spacing w:after="0"/>
              <w:rPr>
                <w:sz w:val="1"/>
                <w:szCs w:val="1"/>
                <w:color w:val="auto"/>
              </w:rPr>
            </w:pPr>
          </w:p>
        </w:tc>
      </w:tr>
      <w:tr>
        <w:trPr>
          <w:trHeight w:val="323"/>
        </w:trPr>
        <w:tc>
          <w:tcPr>
            <w:tcW w:w="56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21"/>
        </w:trPr>
        <w:tc>
          <w:tcPr>
            <w:tcW w:w="5660" w:type="dxa"/>
            <w:vAlign w:val="bottom"/>
            <w:gridSpan w:val="2"/>
          </w:tcPr>
          <w:p>
            <w:pPr>
              <w:spacing w:after="0"/>
              <w:rPr>
                <w:sz w:val="20"/>
                <w:szCs w:val="20"/>
                <w:color w:val="auto"/>
              </w:rPr>
            </w:pPr>
            <w:r>
              <w:rPr>
                <w:rFonts w:ascii="Arial" w:cs="Arial" w:eastAsia="Arial" w:hAnsi="Arial"/>
                <w:sz w:val="18"/>
                <w:szCs w:val="18"/>
                <w:color w:val="auto"/>
              </w:rPr>
              <w:t>Income before income tax expense</w:t>
            </w:r>
          </w:p>
        </w:tc>
        <w:tc>
          <w:tcPr>
            <w:tcW w:w="1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federal, state and foreign income taxes</w:t>
            </w:r>
          </w:p>
        </w:tc>
        <w:tc>
          <w:tcPr>
            <w:tcW w:w="1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4,862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4,923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15,402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322"/>
        </w:trPr>
        <w:tc>
          <w:tcPr>
            <w:tcW w:w="566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0.58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6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Basic</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25,723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26,425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25,982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26,333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26,636</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right"/>
              <w:ind w:right="97"/>
              <w:spacing w:after="0"/>
              <w:rPr>
                <w:sz w:val="20"/>
                <w:szCs w:val="20"/>
                <w:color w:val="auto"/>
              </w:rPr>
            </w:pPr>
            <w:r>
              <w:rPr>
                <w:rFonts w:ascii="Arial" w:cs="Arial" w:eastAsia="Arial" w:hAnsi="Arial"/>
                <w:sz w:val="14"/>
                <w:szCs w:val="14"/>
                <w:b w:val="1"/>
                <w:bCs w:val="1"/>
                <w:color w:val="auto"/>
                <w:w w:val="92"/>
              </w:rPr>
              <w:t>Three Months Ended</w:t>
            </w:r>
          </w:p>
        </w:tc>
        <w:tc>
          <w:tcPr>
            <w:tcW w:w="420" w:type="dxa"/>
            <w:vAlign w:val="bottom"/>
          </w:tcPr>
          <w:p>
            <w:pPr>
              <w:spacing w:after="0"/>
              <w:rPr>
                <w:sz w:val="14"/>
                <w:szCs w:val="14"/>
                <w:color w:val="auto"/>
              </w:rPr>
            </w:pPr>
          </w:p>
        </w:tc>
        <w:tc>
          <w:tcPr>
            <w:tcW w:w="1700" w:type="dxa"/>
            <w:vAlign w:val="bottom"/>
            <w:gridSpan w:val="4"/>
          </w:tcPr>
          <w:p>
            <w:pPr>
              <w:ind w:left="2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7700" w:type="dxa"/>
            <w:vAlign w:val="bottom"/>
          </w:tcPr>
          <w:p>
            <w:pPr>
              <w:spacing w:after="0"/>
              <w:rPr>
                <w:sz w:val="11"/>
                <w:szCs w:val="11"/>
                <w:color w:val="auto"/>
              </w:rPr>
            </w:pPr>
          </w:p>
        </w:tc>
        <w:tc>
          <w:tcPr>
            <w:tcW w:w="6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89"/>
              </w:rPr>
              <w:t>March 31,</w:t>
            </w:r>
          </w:p>
        </w:tc>
        <w:tc>
          <w:tcPr>
            <w:tcW w:w="4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March 31,</w:t>
            </w:r>
          </w:p>
        </w:tc>
        <w:tc>
          <w:tcPr>
            <w:tcW w:w="420" w:type="dxa"/>
            <w:vAlign w:val="bottom"/>
          </w:tcPr>
          <w:p>
            <w:pPr>
              <w:spacing w:after="0"/>
              <w:rPr>
                <w:sz w:val="11"/>
                <w:szCs w:val="11"/>
                <w:color w:val="auto"/>
              </w:rPr>
            </w:pPr>
          </w:p>
        </w:tc>
        <w:tc>
          <w:tcPr>
            <w:tcW w:w="1020" w:type="dxa"/>
            <w:vAlign w:val="bottom"/>
            <w:tcBorders>
              <w:top w:val="single" w:sz="8" w:color="auto"/>
            </w:tcBorders>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89"/>
              </w:rPr>
              <w:t>March 31,</w:t>
            </w: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80"/>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77"/>
              <w:spacing w:after="0"/>
              <w:rPr>
                <w:sz w:val="20"/>
                <w:szCs w:val="20"/>
                <w:color w:val="auto"/>
              </w:rPr>
            </w:pPr>
            <w:r>
              <w:rPr>
                <w:rFonts w:ascii="Arial" w:cs="Arial" w:eastAsia="Arial" w:hAnsi="Arial"/>
                <w:sz w:val="14"/>
                <w:szCs w:val="14"/>
                <w:b w:val="1"/>
                <w:bCs w:val="1"/>
                <w:color w:val="auto"/>
                <w:w w:val="89"/>
              </w:rPr>
              <w:t>2011</w:t>
            </w:r>
          </w:p>
        </w:tc>
        <w:tc>
          <w:tcPr>
            <w:tcW w:w="102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4"/>
                <w:szCs w:val="14"/>
                <w:color w:val="auto"/>
              </w:rPr>
            </w:pPr>
          </w:p>
        </w:tc>
        <w:tc>
          <w:tcPr>
            <w:tcW w:w="580" w:type="dxa"/>
            <w:vAlign w:val="bottom"/>
          </w:tcPr>
          <w:p>
            <w:pPr>
              <w:jc w:val="right"/>
              <w:ind w:right="8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00" w:type="dxa"/>
            <w:vAlign w:val="bottom"/>
            <w:tcBorders>
              <w:top w:val="single" w:sz="8" w:color="CCEEFF"/>
            </w:tcBorders>
            <w:shd w:val="clear" w:color="auto" w:fill="CCEEFF"/>
          </w:tcPr>
          <w:p>
            <w:pPr>
              <w:jc w:val="right"/>
              <w:ind w:right="6792"/>
              <w:spacing w:after="0" w:line="202" w:lineRule="exact"/>
              <w:rPr>
                <w:sz w:val="20"/>
                <w:szCs w:val="20"/>
                <w:color w:val="auto"/>
              </w:rPr>
            </w:pPr>
            <w:r>
              <w:rPr>
                <w:rFonts w:ascii="Arial" w:cs="Arial" w:eastAsia="Arial" w:hAnsi="Arial"/>
                <w:sz w:val="18"/>
                <w:szCs w:val="18"/>
                <w:color w:val="auto"/>
                <w:w w:val="87"/>
              </w:rPr>
              <w:t>Net income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4,862</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4,923</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$ 15,402</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$ 13,299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jc w:val="right"/>
              <w:ind w:right="4312"/>
              <w:spacing w:after="0"/>
              <w:rPr>
                <w:sz w:val="20"/>
                <w:szCs w:val="20"/>
                <w:color w:val="auto"/>
              </w:rPr>
            </w:pPr>
            <w:r>
              <w:rPr>
                <w:rFonts w:ascii="Arial" w:cs="Arial" w:eastAsia="Arial" w:hAnsi="Arial"/>
                <w:sz w:val="18"/>
                <w:szCs w:val="18"/>
                <w:color w:val="auto"/>
                <w:w w:val="87"/>
              </w:rPr>
              <w:t>Other comprehensive income (loss), net of tax:</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jc w:val="right"/>
              <w:ind w:right="4292"/>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jc w:val="right"/>
              <w:ind w:right="5512"/>
              <w:spacing w:after="0"/>
              <w:rPr>
                <w:sz w:val="20"/>
                <w:szCs w:val="20"/>
                <w:color w:val="auto"/>
              </w:rPr>
            </w:pPr>
            <w:r>
              <w:rPr>
                <w:rFonts w:ascii="Arial" w:cs="Arial" w:eastAsia="Arial" w:hAnsi="Arial"/>
                <w:sz w:val="18"/>
                <w:szCs w:val="18"/>
                <w:color w:val="auto"/>
              </w:rPr>
              <w:t>Comprehensive income</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0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5,234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5,036</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color w:val="auto"/>
              </w:rPr>
              <w:t>$ 15,053</w:t>
            </w:r>
          </w:p>
        </w:tc>
        <w:tc>
          <w:tcPr>
            <w:tcW w:w="580" w:type="dxa"/>
            <w:vAlign w:val="bottom"/>
          </w:tcPr>
          <w:p>
            <w:pPr>
              <w:jc w:val="right"/>
              <w:spacing w:after="0"/>
              <w:rPr>
                <w:sz w:val="20"/>
                <w:szCs w:val="20"/>
                <w:color w:val="auto"/>
              </w:rPr>
            </w:pPr>
            <w:r>
              <w:rPr>
                <w:rFonts w:ascii="Arial" w:cs="Arial" w:eastAsia="Arial" w:hAnsi="Arial"/>
                <w:sz w:val="18"/>
                <w:szCs w:val="18"/>
                <w:color w:val="auto"/>
                <w:w w:val="79"/>
              </w:rPr>
              <w:t>$ 14,168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20" w:type="dxa"/>
            <w:vAlign w:val="bottom"/>
          </w:tcPr>
          <w:p>
            <w:pPr>
              <w:spacing w:after="0"/>
              <w:rPr>
                <w:sz w:val="14"/>
                <w:szCs w:val="1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June 30,</w:t>
            </w:r>
          </w:p>
        </w:tc>
      </w:tr>
      <w:tr>
        <w:trPr>
          <w:trHeight w:val="161"/>
        </w:trPr>
        <w:tc>
          <w:tcPr>
            <w:tcW w:w="20" w:type="dxa"/>
            <w:vAlign w:val="bottom"/>
          </w:tcPr>
          <w:p>
            <w:pPr>
              <w:spacing w:after="0"/>
              <w:rPr>
                <w:sz w:val="14"/>
                <w:szCs w:val="14"/>
                <w:color w:val="auto"/>
              </w:rPr>
            </w:pPr>
          </w:p>
        </w:tc>
        <w:tc>
          <w:tcPr>
            <w:tcW w:w="9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59,357</w:t>
            </w: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Accounts receivable, less allowances (March 31, 2012—$1,174 and June 30, 2011—$1,428)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113,830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103,483</w:t>
            </w: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40,056</w:t>
            </w: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2,249</w:t>
            </w: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5,607</w:t>
            </w:r>
          </w:p>
        </w:tc>
      </w:tr>
      <w:tr>
        <w:trPr>
          <w:trHeight w:val="223"/>
        </w:trPr>
        <w:tc>
          <w:tcPr>
            <w:tcW w:w="20" w:type="dxa"/>
            <w:vAlign w:val="bottom"/>
          </w:tcPr>
          <w:p>
            <w:pPr>
              <w:spacing w:after="0"/>
              <w:rPr>
                <w:sz w:val="19"/>
                <w:szCs w:val="19"/>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223,964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215,550</w:t>
            </w:r>
          </w:p>
        </w:tc>
      </w:tr>
      <w:tr>
        <w:trPr>
          <w:trHeight w:val="323"/>
        </w:trPr>
        <w:tc>
          <w:tcPr>
            <w:tcW w:w="9640" w:type="dxa"/>
            <w:vAlign w:val="bottom"/>
            <w:gridSpan w:val="2"/>
          </w:tcPr>
          <w:p>
            <w:pPr>
              <w:spacing w:after="0"/>
              <w:rPr>
                <w:sz w:val="20"/>
                <w:szCs w:val="20"/>
                <w:color w:val="auto"/>
              </w:rPr>
            </w:pPr>
            <w:r>
              <w:rPr>
                <w:rFonts w:ascii="Arial" w:cs="Arial" w:eastAsia="Arial" w:hAnsi="Arial"/>
                <w:sz w:val="18"/>
                <w:szCs w:val="18"/>
                <w:color w:val="auto"/>
              </w:rPr>
              <w:t>Property, plant and equipment at cost:</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Land and buildings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28,287</w:t>
            </w: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Construction equipment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58,573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55,272</w:t>
            </w: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Transportation equipment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21,690</w:t>
            </w: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Office equipment and software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15,442</w:t>
            </w: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Construction in progress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9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130,957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123,156</w:t>
            </w:r>
          </w:p>
        </w:tc>
      </w:tr>
      <w:tr>
        <w:trPr>
          <w:trHeight w:val="217"/>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depreciation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(76,719)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(69,845)</w:t>
            </w:r>
          </w:p>
        </w:tc>
      </w:tr>
      <w:tr>
        <w:trPr>
          <w:trHeight w:val="221"/>
        </w:trPr>
        <w:tc>
          <w:tcPr>
            <w:tcW w:w="20" w:type="dxa"/>
            <w:vAlign w:val="bottom"/>
          </w:tcPr>
          <w:p>
            <w:pPr>
              <w:spacing w:after="0"/>
              <w:rPr>
                <w:sz w:val="19"/>
                <w:szCs w:val="19"/>
                <w:color w:val="auto"/>
              </w:rPr>
            </w:pPr>
          </w:p>
        </w:tc>
        <w:tc>
          <w:tcPr>
            <w:tcW w:w="9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54,238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53,311</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29,058</w:t>
            </w: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6,953</w:t>
            </w: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00" w:type="dxa"/>
            <w:vAlign w:val="bottom"/>
            <w:shd w:val="clear" w:color="auto" w:fill="CCEEFF"/>
          </w:tcPr>
          <w:p>
            <w:pPr>
              <w:spacing w:after="0"/>
              <w:rPr>
                <w:sz w:val="18"/>
                <w:szCs w:val="18"/>
                <w:color w:val="auto"/>
              </w:rPr>
            </w:pPr>
          </w:p>
        </w:tc>
      </w:tr>
      <w:tr>
        <w:trPr>
          <w:trHeight w:val="222"/>
        </w:trPr>
        <w:tc>
          <w:tcPr>
            <w:tcW w:w="96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315,776</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306,436</w:t>
            </w: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20" w:type="dxa"/>
            <w:vAlign w:val="bottom"/>
          </w:tcPr>
          <w:p>
            <w:pPr>
              <w:spacing w:after="0"/>
              <w:rPr>
                <w:sz w:val="14"/>
                <w:szCs w:val="1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96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insurance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Accrued wages and benefits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4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98,256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100,176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payable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107,001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106,765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6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Common stock—$.01 par value; 60,000,000 shares authorized; 27,888,217 shares issued as of March 31, 2012, and June 30,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115,844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113,686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115,633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100,231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232,843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215,632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20" w:type="dxa"/>
            <w:vAlign w:val="bottom"/>
          </w:tcPr>
          <w:p>
            <w:pPr>
              <w:ind w:left="420"/>
              <w:spacing w:after="0"/>
              <w:rPr>
                <w:sz w:val="20"/>
                <w:szCs w:val="20"/>
                <w:color w:val="auto"/>
              </w:rPr>
            </w:pPr>
            <w:r>
              <w:rPr>
                <w:rFonts w:ascii="Arial" w:cs="Arial" w:eastAsia="Arial" w:hAnsi="Arial"/>
                <w:sz w:val="18"/>
                <w:szCs w:val="18"/>
                <w:color w:val="auto"/>
              </w:rPr>
              <w:t>Less: Treasury stock, at cost – 2,157,906 shares as of March 31, 2012, and 1,417,539 shares as of June 30, 2011</w:t>
            </w: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(24,068)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208,775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199,671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315,776</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306,436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7"/>
              </w:rPr>
              <w:t>Nine Months Ended</w:t>
            </w:r>
          </w:p>
        </w:tc>
      </w:tr>
      <w:tr>
        <w:trPr>
          <w:trHeight w:val="129"/>
        </w:trPr>
        <w:tc>
          <w:tcPr>
            <w:tcW w:w="20" w:type="dxa"/>
            <w:vAlign w:val="bottom"/>
          </w:tcPr>
          <w:p>
            <w:pPr>
              <w:spacing w:after="0"/>
              <w:rPr>
                <w:sz w:val="11"/>
                <w:szCs w:val="11"/>
                <w:color w:val="auto"/>
              </w:rPr>
            </w:pPr>
          </w:p>
        </w:tc>
        <w:tc>
          <w:tcPr>
            <w:tcW w:w="81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40" w:type="dxa"/>
            <w:vAlign w:val="bottom"/>
            <w:tcBorders>
              <w:top w:val="single" w:sz="8" w:color="auto"/>
            </w:tcBorders>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92"/>
              </w:rPr>
              <w:t>March 31,</w:t>
            </w: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814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Net income</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15,402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13,299</w:t>
            </w: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(used) by operating activities: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8,668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8,250</w:t>
            </w: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2,191</w:t>
            </w:r>
          </w:p>
        </w:tc>
      </w:tr>
      <w:tr>
        <w:trPr>
          <w:trHeight w:val="216"/>
        </w:trPr>
        <w:tc>
          <w:tcPr>
            <w:tcW w:w="20" w:type="dxa"/>
            <w:vAlign w:val="bottom"/>
          </w:tcPr>
          <w:p>
            <w:pPr>
              <w:spacing w:after="0"/>
              <w:rPr>
                <w:sz w:val="18"/>
                <w:szCs w:val="18"/>
                <w:color w:val="auto"/>
              </w:rPr>
            </w:pPr>
          </w:p>
        </w:tc>
        <w:tc>
          <w:tcPr>
            <w:tcW w:w="8140" w:type="dxa"/>
            <w:vAlign w:val="bottom"/>
          </w:tcPr>
          <w:p>
            <w:pPr>
              <w:ind w:left="860"/>
              <w:spacing w:after="0"/>
              <w:rPr>
                <w:sz w:val="20"/>
                <w:szCs w:val="20"/>
                <w:color w:val="auto"/>
              </w:rPr>
            </w:pPr>
            <w:r>
              <w:rPr>
                <w:rFonts w:ascii="Arial" w:cs="Arial" w:eastAsia="Arial" w:hAnsi="Arial"/>
                <w:sz w:val="18"/>
                <w:szCs w:val="18"/>
                <w:color w:val="auto"/>
              </w:rPr>
              <w:t>Loss (gain) on sale of property, plant and equipment</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Allowance for uncollectible accounts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r>
      <w:tr>
        <w:trPr>
          <w:trHeight w:val="216"/>
        </w:trPr>
        <w:tc>
          <w:tcPr>
            <w:tcW w:w="20" w:type="dxa"/>
            <w:vAlign w:val="bottom"/>
          </w:tcPr>
          <w:p>
            <w:pPr>
              <w:spacing w:after="0"/>
              <w:rPr>
                <w:sz w:val="18"/>
                <w:szCs w:val="18"/>
                <w:color w:val="auto"/>
              </w:rPr>
            </w:pPr>
          </w:p>
        </w:tc>
        <w:tc>
          <w:tcPr>
            <w:tcW w:w="8140" w:type="dxa"/>
            <w:vAlign w:val="bottom"/>
          </w:tcPr>
          <w:p>
            <w:pPr>
              <w:ind w:left="860"/>
              <w:spacing w:after="0"/>
              <w:rPr>
                <w:sz w:val="20"/>
                <w:szCs w:val="20"/>
                <w:color w:val="auto"/>
              </w:rPr>
            </w:pPr>
            <w:r>
              <w:rPr>
                <w:rFonts w:ascii="Arial" w:cs="Arial" w:eastAsia="Arial" w:hAnsi="Arial"/>
                <w:sz w:val="18"/>
                <w:szCs w:val="18"/>
                <w:color w:val="auto"/>
              </w:rPr>
              <w:t>Stock-based compensation expense</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2,655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1,737</w:t>
            </w: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Tax benefit deficiency from the vesting of deferred shares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r>
      <w:tr>
        <w:trPr>
          <w:trHeight w:val="216"/>
        </w:trPr>
        <w:tc>
          <w:tcPr>
            <w:tcW w:w="20" w:type="dxa"/>
            <w:vAlign w:val="bottom"/>
          </w:tcPr>
          <w:p>
            <w:pPr>
              <w:spacing w:after="0"/>
              <w:rPr>
                <w:sz w:val="18"/>
                <w:szCs w:val="18"/>
                <w:color w:val="auto"/>
              </w:rPr>
            </w:pPr>
          </w:p>
        </w:tc>
        <w:tc>
          <w:tcPr>
            <w:tcW w:w="8140" w:type="dxa"/>
            <w:vAlign w:val="bottom"/>
          </w:tcPr>
          <w:p>
            <w:pPr>
              <w:ind w:left="860"/>
              <w:spacing w:after="0"/>
              <w:rPr>
                <w:sz w:val="20"/>
                <w:szCs w:val="20"/>
                <w:color w:val="auto"/>
              </w:rPr>
            </w:pPr>
            <w:r>
              <w:rPr>
                <w:rFonts w:ascii="Arial" w:cs="Arial" w:eastAsia="Arial" w:hAnsi="Arial"/>
                <w:sz w:val="18"/>
                <w:szCs w:val="18"/>
                <w:color w:val="auto"/>
              </w:rPr>
              <w:t>Other</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 increasing (decreasing) cash:</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280"/>
              <w:spacing w:after="0"/>
              <w:rPr>
                <w:sz w:val="20"/>
                <w:szCs w:val="20"/>
                <w:color w:val="auto"/>
              </w:rPr>
            </w:pPr>
            <w:r>
              <w:rPr>
                <w:rFonts w:ascii="Arial" w:cs="Arial" w:eastAsia="Arial" w:hAnsi="Arial"/>
                <w:sz w:val="18"/>
                <w:szCs w:val="18"/>
                <w:color w:val="auto"/>
              </w:rPr>
              <w:t>Accounts receivable</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(10,314)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(4,281)</w:t>
            </w: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(14,996)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r>
      <w:tr>
        <w:trPr>
          <w:trHeight w:val="216"/>
        </w:trPr>
        <w:tc>
          <w:tcPr>
            <w:tcW w:w="20" w:type="dxa"/>
            <w:vAlign w:val="bottom"/>
          </w:tcPr>
          <w:p>
            <w:pPr>
              <w:spacing w:after="0"/>
              <w:rPr>
                <w:sz w:val="18"/>
                <w:szCs w:val="18"/>
                <w:color w:val="auto"/>
              </w:rPr>
            </w:pPr>
          </w:p>
        </w:tc>
        <w:tc>
          <w:tcPr>
            <w:tcW w:w="8140" w:type="dxa"/>
            <w:vAlign w:val="bottom"/>
          </w:tcPr>
          <w:p>
            <w:pPr>
              <w:ind w:left="1280"/>
              <w:spacing w:after="0"/>
              <w:rPr>
                <w:sz w:val="20"/>
                <w:szCs w:val="20"/>
                <w:color w:val="auto"/>
              </w:rPr>
            </w:pPr>
            <w:r>
              <w:rPr>
                <w:rFonts w:ascii="Arial" w:cs="Arial" w:eastAsia="Arial" w:hAnsi="Arial"/>
                <w:sz w:val="18"/>
                <w:szCs w:val="18"/>
                <w:color w:val="auto"/>
              </w:rPr>
              <w:t>Inventories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855</w:t>
            </w: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assets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3,066</w:t>
            </w:r>
          </w:p>
        </w:tc>
      </w:tr>
      <w:tr>
        <w:trPr>
          <w:trHeight w:val="216"/>
        </w:trPr>
        <w:tc>
          <w:tcPr>
            <w:tcW w:w="20" w:type="dxa"/>
            <w:vAlign w:val="bottom"/>
          </w:tcPr>
          <w:p>
            <w:pPr>
              <w:spacing w:after="0"/>
              <w:rPr>
                <w:sz w:val="18"/>
                <w:szCs w:val="18"/>
                <w:color w:val="auto"/>
              </w:rPr>
            </w:pPr>
          </w:p>
        </w:tc>
        <w:tc>
          <w:tcPr>
            <w:tcW w:w="814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(16,045)</w:t>
            </w: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8,020</w:t>
            </w:r>
          </w:p>
        </w:tc>
      </w:tr>
      <w:tr>
        <w:trPr>
          <w:trHeight w:val="223"/>
        </w:trPr>
        <w:tc>
          <w:tcPr>
            <w:tcW w:w="20" w:type="dxa"/>
            <w:vAlign w:val="bottom"/>
          </w:tcPr>
          <w:p>
            <w:pPr>
              <w:spacing w:after="0"/>
              <w:rPr>
                <w:sz w:val="19"/>
                <w:szCs w:val="19"/>
                <w:color w:val="auto"/>
              </w:rPr>
            </w:pPr>
          </w:p>
        </w:tc>
        <w:tc>
          <w:tcPr>
            <w:tcW w:w="8140" w:type="dxa"/>
            <w:vAlign w:val="bottom"/>
          </w:tcPr>
          <w:p>
            <w:pPr>
              <w:ind w:left="1280"/>
              <w:spacing w:after="0"/>
              <w:rPr>
                <w:sz w:val="20"/>
                <w:szCs w:val="20"/>
                <w:color w:val="auto"/>
              </w:rPr>
            </w:pPr>
            <w:r>
              <w:rPr>
                <w:rFonts w:ascii="Arial" w:cs="Arial" w:eastAsia="Arial" w:hAnsi="Arial"/>
                <w:sz w:val="18"/>
                <w:szCs w:val="18"/>
                <w:color w:val="auto"/>
              </w:rPr>
              <w:t>Accrued expenses</w:t>
            </w: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2,341</w:t>
            </w: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20,065</w:t>
            </w:r>
          </w:p>
        </w:tc>
        <w:tc>
          <w:tcPr>
            <w:tcW w:w="100" w:type="dxa"/>
            <w:vAlign w:val="bottom"/>
            <w:shd w:val="clear" w:color="auto" w:fill="CCEEFF"/>
          </w:tcPr>
          <w:p>
            <w:pPr>
              <w:spacing w:after="0"/>
              <w:rPr>
                <w:sz w:val="18"/>
                <w:szCs w:val="18"/>
                <w:color w:val="auto"/>
              </w:rPr>
            </w:pPr>
          </w:p>
        </w:tc>
      </w:tr>
      <w:tr>
        <w:trPr>
          <w:trHeight w:val="323"/>
        </w:trPr>
        <w:tc>
          <w:tcPr>
            <w:tcW w:w="20" w:type="dxa"/>
            <w:vAlign w:val="bottom"/>
          </w:tcPr>
          <w:p>
            <w:pPr>
              <w:spacing w:after="0"/>
              <w:rPr>
                <w:sz w:val="24"/>
                <w:szCs w:val="24"/>
                <w:color w:val="auto"/>
              </w:rPr>
            </w:pPr>
          </w:p>
        </w:tc>
        <w:tc>
          <w:tcPr>
            <w:tcW w:w="8140" w:type="dxa"/>
            <w:vAlign w:val="bottom"/>
          </w:tcPr>
          <w:p>
            <w:pPr>
              <w:ind w:left="420"/>
              <w:spacing w:after="0"/>
              <w:rPr>
                <w:sz w:val="20"/>
                <w:szCs w:val="20"/>
                <w:color w:val="auto"/>
              </w:rPr>
            </w:pPr>
            <w:r>
              <w:rPr>
                <w:rFonts w:ascii="Arial" w:cs="Arial" w:eastAsia="Arial" w:hAnsi="Arial"/>
                <w:sz w:val="18"/>
                <w:szCs w:val="18"/>
                <w:b w:val="1"/>
                <w:bCs w:val="1"/>
                <w:color w:val="auto"/>
              </w:rPr>
              <w:t>Investing activities:</w:t>
            </w: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property, plant and equipment</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(7,568)</w:t>
            </w: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Acquisition related adjustment (Note 4)</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asset sales</w:t>
            </w:r>
          </w:p>
        </w:tc>
        <w:tc>
          <w:tcPr>
            <w:tcW w:w="1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r>
      <w:tr>
        <w:trPr>
          <w:trHeight w:val="221"/>
        </w:trPr>
        <w:tc>
          <w:tcPr>
            <w:tcW w:w="8160" w:type="dxa"/>
            <w:vAlign w:val="bottom"/>
            <w:gridSpan w:val="2"/>
          </w:tcPr>
          <w:p>
            <w:pPr>
              <w:spacing w:after="0"/>
              <w:rPr>
                <w:sz w:val="20"/>
                <w:szCs w:val="20"/>
                <w:color w:val="auto"/>
              </w:rPr>
            </w:pPr>
            <w:r>
              <w:rPr>
                <w:rFonts w:ascii="Arial" w:cs="Arial" w:eastAsia="Arial" w:hAnsi="Arial"/>
                <w:sz w:val="18"/>
                <w:szCs w:val="18"/>
                <w:color w:val="auto"/>
              </w:rPr>
              <w:t>Net cash used by investing activities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(9,182)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(7,456)</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720" w:type="dxa"/>
            <w:vAlign w:val="bottom"/>
          </w:tcPr>
          <w:p>
            <w:pPr>
              <w:spacing w:after="0"/>
              <w:rPr>
                <w:sz w:val="11"/>
                <w:szCs w:val="11"/>
                <w:color w:val="auto"/>
              </w:rPr>
            </w:pPr>
          </w:p>
        </w:tc>
        <w:tc>
          <w:tcPr>
            <w:tcW w:w="840" w:type="dxa"/>
            <w:vAlign w:val="bottom"/>
            <w:tcBorders>
              <w:top w:val="single" w:sz="8" w:color="auto"/>
            </w:tcBorders>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92"/>
              </w:rPr>
              <w:t>March 31,</w:t>
            </w: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9740" w:type="dxa"/>
            <w:vAlign w:val="bottom"/>
            <w:gridSpan w:val="2"/>
          </w:tcPr>
          <w:p>
            <w:pPr>
              <w:spacing w:after="0"/>
              <w:rPr>
                <w:sz w:val="20"/>
                <w:szCs w:val="20"/>
                <w:color w:val="auto"/>
              </w:rPr>
            </w:pPr>
            <w:r>
              <w:rPr>
                <w:rFonts w:ascii="Arial" w:cs="Arial" w:eastAsia="Arial" w:hAnsi="Arial"/>
                <w:sz w:val="18"/>
                <w:szCs w:val="18"/>
                <w:color w:val="auto"/>
              </w:rPr>
              <w:t>Issuances of common stock</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114</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payments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Tax benefit of exercised stock options</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Advances under credit agreement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Repayments of advances under credit agreement</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(3,007)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Payment of debt amendment fees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Treasury shares purchased by Employee Stock Purchase Plan</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Open market purchase of treasury shares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Other treasury share purchases</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by financing activities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331"/>
        </w:trPr>
        <w:tc>
          <w:tcPr>
            <w:tcW w:w="97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(16,225)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12,476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59,357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50,899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43,132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63,375</w:t>
            </w:r>
          </w:p>
        </w:tc>
        <w:tc>
          <w:tcPr>
            <w:tcW w:w="0" w:type="dxa"/>
            <w:vAlign w:val="bottom"/>
          </w:tcPr>
          <w:p>
            <w:pPr>
              <w:spacing w:after="0"/>
              <w:rPr>
                <w:sz w:val="1"/>
                <w:szCs w:val="1"/>
                <w:color w:val="auto"/>
              </w:rPr>
            </w:pPr>
          </w:p>
        </w:tc>
      </w:tr>
      <w:tr>
        <w:trPr>
          <w:trHeight w:val="20"/>
        </w:trPr>
        <w:tc>
          <w:tcPr>
            <w:tcW w:w="9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period for: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tcPr>
          <w:p>
            <w:pPr>
              <w:ind w:left="420"/>
              <w:spacing w:after="0"/>
              <w:rPr>
                <w:sz w:val="20"/>
                <w:szCs w:val="20"/>
                <w:color w:val="auto"/>
              </w:rPr>
            </w:pPr>
            <w:r>
              <w:rPr>
                <w:rFonts w:ascii="Arial" w:cs="Arial" w:eastAsia="Arial" w:hAnsi="Arial"/>
                <w:sz w:val="18"/>
                <w:szCs w:val="18"/>
                <w:color w:val="auto"/>
              </w:rPr>
              <w:t>Income taxes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9,386</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357</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0"/>
        </w:trPr>
        <w:tc>
          <w:tcPr>
            <w:tcW w:w="974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plant and equipment on account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648</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5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5"/>
              </w:rPr>
              <w:t>Common</w:t>
            </w:r>
          </w:p>
        </w:tc>
        <w:tc>
          <w:tcPr>
            <w:tcW w:w="28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98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8"/>
              </w:rPr>
              <w:t>Retained</w:t>
            </w: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Treasury</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6"/>
              </w:rPr>
              <w:t>Earnings</w:t>
            </w: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Stock</w:t>
            </w: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Income(Loss)</w:t>
            </w:r>
          </w:p>
        </w:tc>
        <w:tc>
          <w:tcPr>
            <w:tcW w:w="1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Balances, June 30, 2011</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279</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$113,686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100,231</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(15,961)</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$199,671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15,402</w:t>
            </w:r>
          </w:p>
        </w:tc>
        <w:tc>
          <w:tcPr>
            <w:tcW w:w="3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15,402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Exercise of stock options (19,200 shares)</w:t>
            </w:r>
          </w:p>
        </w:tc>
        <w:tc>
          <w:tcPr>
            <w:tcW w:w="100" w:type="dxa"/>
            <w:vAlign w:val="bottom"/>
          </w:tcPr>
          <w:p>
            <w:pPr>
              <w:spacing w:after="0"/>
              <w:rPr>
                <w:sz w:val="18"/>
                <w:szCs w:val="18"/>
                <w:color w:val="auto"/>
              </w:rPr>
            </w:pP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w w:val="98"/>
              </w:rPr>
              <w:t>Tax effect of exercised stock options and the vesting of deferred shares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Issuance of deferred shares (172,002 shares)</w:t>
            </w:r>
          </w:p>
        </w:tc>
        <w:tc>
          <w:tcPr>
            <w:tcW w:w="100" w:type="dxa"/>
            <w:vAlign w:val="bottom"/>
          </w:tcPr>
          <w:p>
            <w:pPr>
              <w:spacing w:after="0"/>
              <w:rPr>
                <w:sz w:val="18"/>
                <w:szCs w:val="18"/>
                <w:color w:val="auto"/>
              </w:rPr>
            </w:pP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447</w:t>
            </w:r>
          </w:p>
        </w:tc>
        <w:tc>
          <w:tcPr>
            <w:tcW w:w="1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 share purchase (3,744 shares)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Open market purchase of treasury shares (886,503 shares)</w:t>
            </w:r>
          </w:p>
        </w:tc>
        <w:tc>
          <w:tcPr>
            <w:tcW w:w="100" w:type="dxa"/>
            <w:vAlign w:val="bottom"/>
          </w:tcPr>
          <w:p>
            <w:pPr>
              <w:spacing w:after="0"/>
              <w:rPr>
                <w:sz w:val="18"/>
                <w:szCs w:val="18"/>
                <w:color w:val="auto"/>
              </w:rPr>
            </w:pP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(8,126)</w:t>
            </w:r>
          </w:p>
        </w:tc>
        <w:tc>
          <w:tcPr>
            <w:tcW w:w="1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(8,126)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 treasury share purchases (48,810 shares)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Balances, March 31, 2012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279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115,844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115,633</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(24,068)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208,775</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rPr>
              <w:t>Balances, June 30, 2010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60" w:type="dxa"/>
            <w:vAlign w:val="bottom"/>
            <w:gridSpan w:val="2"/>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ind w:left="180"/>
              <w:spacing w:after="0"/>
              <w:rPr>
                <w:sz w:val="20"/>
                <w:szCs w:val="20"/>
                <w:color w:val="auto"/>
              </w:rPr>
            </w:pPr>
            <w:r>
              <w:rPr>
                <w:rFonts w:ascii="Arial" w:cs="Arial" w:eastAsia="Arial" w:hAnsi="Arial"/>
                <w:sz w:val="18"/>
                <w:szCs w:val="18"/>
                <w:color w:val="auto"/>
                <w:w w:val="86"/>
              </w:rPr>
              <w:t>279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$111,637</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81,252</w:t>
            </w:r>
          </w:p>
        </w:tc>
        <w:tc>
          <w:tcPr>
            <w:tcW w:w="3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2"/>
              </w:rPr>
              <w:t>$ (16,078)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ind w:left="460"/>
              <w:spacing w:after="0"/>
              <w:rPr>
                <w:sz w:val="20"/>
                <w:szCs w:val="20"/>
                <w:color w:val="auto"/>
              </w:rPr>
            </w:pPr>
            <w:r>
              <w:rPr>
                <w:rFonts w:ascii="Arial" w:cs="Arial" w:eastAsia="Arial" w:hAnsi="Arial"/>
                <w:sz w:val="18"/>
                <w:szCs w:val="18"/>
                <w:color w:val="auto"/>
                <w:w w:val="79"/>
              </w:rPr>
              <w:t>495</w:t>
            </w: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$177,585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13,299</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18"/>
                <w:szCs w:val="18"/>
                <w:color w:val="auto"/>
              </w:rPr>
            </w:pP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w w:val="79"/>
              </w:rPr>
              <w:t>869</w:t>
            </w: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 (31,000 shares)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w w:val="98"/>
              </w:rPr>
              <w:t>Tax effect of exercised stock options and the vesting of deferred shares</w:t>
            </w:r>
          </w:p>
        </w:tc>
        <w:tc>
          <w:tcPr>
            <w:tcW w:w="100" w:type="dxa"/>
            <w:vAlign w:val="bottom"/>
          </w:tcPr>
          <w:p>
            <w:pPr>
              <w:spacing w:after="0"/>
              <w:rPr>
                <w:sz w:val="18"/>
                <w:szCs w:val="18"/>
                <w:color w:val="auto"/>
              </w:rPr>
            </w:pP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Issuance of deferred shares (92,761 shares)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Treasury share purchases (28,049 shares)</w:t>
            </w:r>
          </w:p>
        </w:tc>
        <w:tc>
          <w:tcPr>
            <w:tcW w:w="100" w:type="dxa"/>
            <w:vAlign w:val="bottom"/>
          </w:tcPr>
          <w:p>
            <w:pPr>
              <w:spacing w:after="0"/>
              <w:rPr>
                <w:sz w:val="18"/>
                <w:szCs w:val="18"/>
                <w:color w:val="auto"/>
              </w:rPr>
            </w:pP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60" w:type="dxa"/>
            <w:vAlign w:val="bottom"/>
            <w:gridSpan w:val="2"/>
          </w:tcPr>
          <w:p>
            <w:pPr>
              <w:spacing w:after="0"/>
              <w:rPr>
                <w:sz w:val="20"/>
                <w:szCs w:val="20"/>
                <w:color w:val="auto"/>
              </w:rPr>
            </w:pPr>
            <w:r>
              <w:rPr>
                <w:rFonts w:ascii="Arial" w:cs="Arial" w:eastAsia="Arial" w:hAnsi="Arial"/>
                <w:sz w:val="18"/>
                <w:szCs w:val="18"/>
                <w:color w:val="auto"/>
              </w:rPr>
              <w:t>Balances, March 31, 2011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ind w:left="180"/>
              <w:spacing w:after="0"/>
              <w:rPr>
                <w:sz w:val="20"/>
                <w:szCs w:val="20"/>
                <w:color w:val="auto"/>
              </w:rPr>
            </w:pPr>
            <w:r>
              <w:rPr>
                <w:rFonts w:ascii="Arial" w:cs="Arial" w:eastAsia="Arial" w:hAnsi="Arial"/>
                <w:sz w:val="18"/>
                <w:szCs w:val="18"/>
                <w:color w:val="auto"/>
                <w:w w:val="86"/>
              </w:rPr>
              <w:t>279</w:t>
            </w: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113,124</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94,548</w:t>
            </w:r>
          </w:p>
        </w:tc>
        <w:tc>
          <w:tcPr>
            <w:tcW w:w="3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(16,026)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1,364</w:t>
            </w:r>
          </w:p>
        </w:tc>
        <w:tc>
          <w:tcPr>
            <w:tcW w:w="20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193,289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condensed consolidated financial statements include the accounts of Matrix Service Company (“Matrix Service”, “we”, “our”, “us”, “its” or the “Company”) and its subsidiaries, all of which are wholly owned. Intercompany balances and transactions have been eliminated in consolidation.</w:t>
      </w:r>
    </w:p>
    <w:p>
      <w:pPr>
        <w:spacing w:after="0" w:line="8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generally accepted accounting principles for complete financial statements. However, the information furnished reflects all adjustments, consisting of normal recurring adjustments and other adjustments described herein that are, in the opinion of management, necessary for a fair statement of the results for the interim periods. The accompanying condensed financial statements should be read in conjunction with the audited financial statements for the year ended June 30, 2011, included in the Company’s Annual Report on Form 10-K for the year then ended.</w:t>
      </w:r>
    </w:p>
    <w:p>
      <w:pPr>
        <w:spacing w:after="0" w:line="12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Company’s business can be cyclical due to the scope and timing of projects released by our customers. Therefore, results from year to year can vary. Turnarounds and planned outages at customer facilities are typically scheduled in the spring and the fall when the demand for energy is lower. As a result, quarterly operating results can fluctuate materially. We typically see a lower level of operating activity relating to construction projects during the winter months and early in the calendar year because many of our customers’ capital budgets have been spent and new capital budgets have not been finalized. Our business can also be affected both positively and adversely by seasonal factors such as energy demand or weather conditions including hurricanes, snowstorms, abnormally low or high temperatures. Accordingly, results for any interim period may not necessarily be indicative of future operating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Recently Issued Statements of Financial Accounting Standards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Standards Update 2011-04, Amendments to Achieve Common Fair Value Measurement and Disclosure Requirements in U.S. GAAP and IFRSs</w:t>
      </w:r>
    </w:p>
    <w:p>
      <w:pPr>
        <w:spacing w:after="0" w:line="1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May 2011, the FASB issued ASU 2011-04, "Amendments to Achieve Common Fair Value Measurement and Disclosure Requirements in U.S. GAAP and IFRSs" ("ASU 2011-04"). ASU 2011-04 amends ASC 820, providing a consistent definition and measurement of fair value, as well as similar disclosure requirements between U.S. GAAP and International Financial Reporting Standards. ASU 2011-04 changes certain fair value measurement principles, clarifies the application of existing fair value measurement and expands the ASC 820 disclosure requirements, particularly for Level 3 fair value measurements. ASU 2011-04 is effective for interim and annual periods beginning after December 15, 2011. The Company's adoption of ASU 2011-04 is not expected to have a material effect on the Company's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2011-05, Comprehensive Income: Presentation of Comprehensive Income</w:t>
      </w:r>
    </w:p>
    <w:p>
      <w:pPr>
        <w:spacing w:after="0" w:line="9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Effective March 31, 2012, we adopted Accounting Standards Update No. 2011-05, “Comprehensive Income: Presentation of Comprehensive Income” (“ASU 2011-05”). ASU 2011-05 eliminated the option of presenting the components of other comprehensive income as part of the statement of stockholders’ equity. ASU 2011-05 requires that comprehensive income be reported in either a single contiguous statement of comprehensive income which contains two sections, net income and other comprehensive income, or in two separate but consecutive statements. We elected to present comprehensive income in two statements. The adoption of ASU 2011-05 did not impact the Company’s financial position or results of operations, as it only required a change in the format of the current presentation.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2011-09, Disclosures about an Employer’s Participation in a Multiemployer Plan</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September 2011, the FASB issued Accounting Standards Update No. 2011-09, Disclosures about an Employer’s Participation in a Multiemployer Plan (“ASU 2011-09”). ASU 2011-09 requires employers to make additional separate disclosures for multiemployer pension and other postretirement benefit plans. Additional disclosures include, but are not limited to:</w:t>
      </w:r>
    </w:p>
    <w:p>
      <w:pPr>
        <w:spacing w:after="0" w:line="59"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plans in which an employer participates;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participation, including the plans to which the employer is a significant contributor;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health of significant plans;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nature of the employer’s commitment to the plans.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ASU 2011-09 does not change the current recognition and measurement guidance that requires an employer to recognize its required contribution as a pension or other postretirement benefit cost for the period and to recognize a liability for any contributions due at the reporting date. ASU 2011-09 also does not change the recognition, measurement or disclosure requirements for obligations related to an actual or potential withdrawal from a multiemployer plan. These obligations continue to be accounted for under ASC-450, Contingencies. Under ASC 450, if an obligation due to withdrawal from a multiemployer plan is probable and reasonably estimable, the recognition of a liability and disclosure of the contingency is required. If an obligation due to withdrawal from a multiemployer plan is reasonably possible, disclosure of the contingency is required.</w:t>
      </w:r>
    </w:p>
    <w:p>
      <w:pPr>
        <w:spacing w:after="0" w:line="12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ASU 2011-09 is effective for fiscal years ending after December 15, 2011, with early adoption permitted. The Company is currently gathering the necessary information and will include the required disclosures in its annual report beginning with the annual report for the twelve months ended June 30, 2012. We do not believe ASU 2011-09 will impact the Company’s financial position or results of operations, as it only requires additional disclosures regarding the Company’s participation in multiemployer plans.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Uncompleted Contracts</w:t>
      </w:r>
    </w:p>
    <w:p>
      <w:pPr>
        <w:spacing w:after="0" w:line="9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Contract terms of the Company’s construction contracts generally provide for progress billings based on project milestones. The excess of costs incurred and estimated earnings over amounts billed on uncompleted contracts is reported as a current asset. The excess of amounts billed over costs incurred and estimated earnings recognized on uncompleted contracts is reported as a current liability. Gross and net amounts on uncompleted contracts are as follows: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1"/>
        </w:trPr>
        <w:tc>
          <w:tcPr>
            <w:tcW w:w="6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4"/>
          </w:tcPr>
          <w:p>
            <w:pPr>
              <w:jc w:val="right"/>
              <w:ind w:right="437"/>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w w:val="98"/>
              </w:rPr>
              <w:t>Costs incurred and estimated earnings recognized on uncompleted contracts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655,582</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583,334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rPr>
              <w:t>Billings on uncompleted contracts</w:t>
            </w:r>
          </w:p>
        </w:tc>
        <w:tc>
          <w:tcPr>
            <w:tcW w:w="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628,792</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578,763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Presented as:</w:t>
            </w: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6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w w:val="99"/>
              </w:rPr>
              <w:t>Costs and estimated earnings in excess of billings on uncompleted contracts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55,052</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color w:val="auto"/>
                <w:w w:val="99"/>
              </w:rPr>
              <w:t>Billings on uncompleted contracts in excess of costs and estimated earnings</w:t>
            </w:r>
          </w:p>
        </w:tc>
        <w:tc>
          <w:tcPr>
            <w:tcW w:w="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28,262</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4240"/>
              <w:spacing w:after="0"/>
              <w:rPr>
                <w:sz w:val="20"/>
                <w:szCs w:val="20"/>
                <w:color w:val="auto"/>
              </w:rPr>
            </w:pPr>
            <w:r>
              <w:rPr>
                <w:rFonts w:ascii="Arial" w:cs="Arial" w:eastAsia="Arial" w:hAnsi="Arial"/>
                <w:sz w:val="18"/>
                <w:szCs w:val="18"/>
                <w:color w:val="auto"/>
              </w:rPr>
              <w:t>-9-</w:t>
            </w: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0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4"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Progress billings in accounts receivable at March 31, 2012 and June 30, 2011 included retentions to be collected within one year of $19.6 million and $13.9 million, respectively. Contract retentions collectible beyond one year totaled $0.8 million at March 31, 2012 and $0.9 million at June 30, 2011.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Intangible Assets including Goodwill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segment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9"/>
              </w:rPr>
              <w:t>Electrical</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Oil Gas &amp;</w:t>
            </w:r>
          </w:p>
        </w:tc>
        <w:tc>
          <w:tcPr>
            <w:tcW w:w="260" w:type="dxa"/>
            <w:vAlign w:val="bottom"/>
          </w:tcPr>
          <w:p>
            <w:pPr>
              <w:spacing w:after="0"/>
              <w:rPr>
                <w:sz w:val="14"/>
                <w:szCs w:val="1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1"/>
              </w:rPr>
              <w:t>Storage</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2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8"/>
              </w:rPr>
              <w:t>Infrastucture</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Chemical</w:t>
            </w:r>
          </w:p>
        </w:tc>
        <w:tc>
          <w:tcPr>
            <w:tcW w:w="26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1"/>
              </w:rPr>
              <w:t>Solutions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Industrial</w:t>
            </w:r>
          </w:p>
        </w:tc>
        <w:tc>
          <w:tcPr>
            <w:tcW w:w="16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right"/>
              <w:ind w:right="380"/>
              <w:spacing w:after="0" w:line="142" w:lineRule="exact"/>
              <w:rPr>
                <w:sz w:val="20"/>
                <w:szCs w:val="20"/>
                <w:color w:val="auto"/>
              </w:rPr>
            </w:pPr>
            <w:r>
              <w:rPr>
                <w:rFonts w:ascii="Arial" w:cs="Arial" w:eastAsia="Arial" w:hAnsi="Arial"/>
                <w:sz w:val="14"/>
                <w:szCs w:val="14"/>
                <w:color w:val="auto"/>
                <w:w w:val="93"/>
              </w:rPr>
              <w:t>(In thousands)</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5,841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7,338</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$ 54,058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Cumulative impairment loss</w:t>
            </w: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(17,653)</w:t>
            </w: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(3,000)</w:t>
            </w: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(3,425)</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3,913</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Acquisition related adjustment</w:t>
            </w: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(241)</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adjustment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Net balance at March 31, 2012</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12,013</w:t>
            </w:r>
          </w:p>
        </w:tc>
        <w:tc>
          <w:tcPr>
            <w:tcW w:w="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2,841</w:t>
            </w: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10,199</w:t>
            </w:r>
          </w:p>
        </w:tc>
        <w:tc>
          <w:tcPr>
            <w:tcW w:w="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3,672</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$ 28,725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The acquisition related adjustment represents the final working capital settlement related to the purchase of EDC, Inc. (“EDC”), which was acquired in May 2011 and was described in Note 3 of our fiscal year 2011 Annual Report on Form 10-K.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At June 30, 2011</w:t>
            </w: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54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1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9"/>
              </w:rPr>
              <w:t>Useful Life</w:t>
            </w: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Carrying</w:t>
            </w:r>
          </w:p>
        </w:tc>
        <w:tc>
          <w:tcPr>
            <w:tcW w:w="32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35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Amount</w:t>
            </w:r>
          </w:p>
        </w:tc>
        <w:tc>
          <w:tcPr>
            <w:tcW w:w="3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7"/>
              </w:rPr>
              <w:t>(Years)</w:t>
            </w:r>
          </w:p>
        </w:tc>
        <w:tc>
          <w:tcPr>
            <w:tcW w:w="4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(In thousands)</w:t>
            </w: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27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 to 15</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$ 2,460</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Customer based</w:t>
            </w:r>
          </w:p>
        </w:tc>
        <w:tc>
          <w:tcPr>
            <w:tcW w:w="27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 to 15</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2,657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(108)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7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 to 5</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8"/>
                <w:szCs w:val="18"/>
                <w:color w:val="auto"/>
              </w:rPr>
              <w:t>Total amortizing intangibles</w:t>
            </w:r>
          </w:p>
        </w:tc>
        <w:tc>
          <w:tcPr>
            <w:tcW w:w="2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540" w:type="dxa"/>
            <w:vAlign w:val="bottom"/>
            <w:vMerge w:val="continue"/>
          </w:tcPr>
          <w:p>
            <w:pPr>
              <w:spacing w:after="0"/>
              <w:rPr>
                <w:sz w:val="19"/>
                <w:szCs w:val="19"/>
                <w:color w:val="auto"/>
              </w:rPr>
            </w:pPr>
          </w:p>
        </w:tc>
        <w:tc>
          <w:tcPr>
            <w:tcW w:w="2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5,664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(581)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27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Indefinite</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8"/>
                <w:szCs w:val="18"/>
                <w:color w:val="auto"/>
              </w:rPr>
              <w:t>Total other intangible assets</w:t>
            </w:r>
          </w:p>
        </w:tc>
        <w:tc>
          <w:tcPr>
            <w:tcW w:w="2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540" w:type="dxa"/>
            <w:vAlign w:val="bottom"/>
            <w:vMerge w:val="continue"/>
          </w:tcPr>
          <w:p>
            <w:pPr>
              <w:spacing w:after="0"/>
              <w:rPr>
                <w:sz w:val="19"/>
                <w:szCs w:val="19"/>
                <w:color w:val="auto"/>
              </w:rPr>
            </w:pPr>
          </w:p>
        </w:tc>
        <w:tc>
          <w:tcPr>
            <w:tcW w:w="2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$ 7,534</w:t>
            </w: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(581)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$ 6,953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700" w:type="dxa"/>
            <w:vAlign w:val="bottom"/>
            <w:vMerge w:val="restart"/>
          </w:tcPr>
          <w:p>
            <w:pPr>
              <w:jc w:val="right"/>
              <w:ind w:right="752"/>
              <w:spacing w:after="0"/>
              <w:rPr>
                <w:sz w:val="20"/>
                <w:szCs w:val="20"/>
                <w:color w:val="auto"/>
              </w:rPr>
            </w:pPr>
            <w:r>
              <w:rPr>
                <w:rFonts w:ascii="Arial" w:cs="Arial" w:eastAsia="Arial" w:hAnsi="Arial"/>
                <w:sz w:val="18"/>
                <w:szCs w:val="18"/>
                <w:color w:val="auto"/>
              </w:rPr>
              <w:t>-10-</w:t>
            </w: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4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At March 31, 2012</w:t>
            </w: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54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6140" w:type="dxa"/>
            <w:vAlign w:val="bottom"/>
          </w:tcPr>
          <w:p>
            <w:pPr>
              <w:spacing w:after="0"/>
              <w:rPr>
                <w:sz w:val="14"/>
                <w:szCs w:val="14"/>
                <w:color w:val="auto"/>
              </w:rPr>
            </w:pP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Useful Life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54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2"/>
              </w:rPr>
              <w:t>(Years)</w:t>
            </w:r>
          </w:p>
        </w:tc>
        <w:tc>
          <w:tcPr>
            <w:tcW w:w="5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 to 15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$ 2,460</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Customer based</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 to 15</w:t>
            </w:r>
          </w:p>
        </w:tc>
        <w:tc>
          <w:tcPr>
            <w:tcW w:w="540" w:type="dxa"/>
            <w:vAlign w:val="bottom"/>
          </w:tcPr>
          <w:p>
            <w:pPr>
              <w:jc w:val="right"/>
              <w:spacing w:after="0"/>
              <w:rPr>
                <w:sz w:val="20"/>
                <w:szCs w:val="20"/>
                <w:color w:val="auto"/>
              </w:rPr>
            </w:pPr>
            <w:r>
              <w:rPr>
                <w:rFonts w:ascii="Arial" w:cs="Arial" w:eastAsia="Arial" w:hAnsi="Arial"/>
                <w:sz w:val="18"/>
                <w:szCs w:val="18"/>
                <w:color w:val="auto"/>
              </w:rPr>
              <w:t>2,657</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(241)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 to 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Total amortizing intangibles</w:t>
            </w: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4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5,664</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(920)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Indefinite</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5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40" w:type="dxa"/>
            <w:vAlign w:val="bottom"/>
          </w:tcPr>
          <w:p>
            <w:pPr>
              <w:spacing w:after="0"/>
              <w:rPr>
                <w:sz w:val="20"/>
                <w:szCs w:val="20"/>
                <w:color w:val="auto"/>
              </w:rPr>
            </w:pPr>
            <w:r>
              <w:rPr>
                <w:rFonts w:ascii="Arial" w:cs="Arial" w:eastAsia="Arial" w:hAnsi="Arial"/>
                <w:sz w:val="18"/>
                <w:szCs w:val="18"/>
                <w:color w:val="auto"/>
              </w:rPr>
              <w:t>Total other intangible assets</w:t>
            </w: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$ 7,534</w:t>
            </w:r>
          </w:p>
        </w:tc>
        <w:tc>
          <w:tcPr>
            <w:tcW w:w="8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(920)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$ 6,614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Amortization expense totaled $0.3 million in the first nine months of fiscal 2012 and $0.2 million in the same period of fiscal 2011. Amortization expense is expected to be $0.4 million annually in fiscal years 2012 to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On November 7, 2011, the Company entered into the Third Amended and Restated Credit Agreement (the “Credit Agreement”), by and among the Company, JPMorgan Chase Bank, N.A., as Administrative Agent, Swingline Lender and Issuing Bank, and the other Lenders party thereto, which replaces the Second Amended and Restated Credit Agreement dated as of November 30, 2006, as amended. The Credit Agreement provides for a five-year senior secured revolving credit facility of $125.0 million, which may be used for working capital, issuance of letters of credit and other lawful corporate purposes.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9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required to maintain a Senior Leverage Ratio, as defined in the agreement, of less than 2.50 to 1.00.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as defined in the agreement, greater than or equal to 1.25 to 1.00.</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$15.0 million per 12-month period.</w:t>
      </w:r>
    </w:p>
    <w:p>
      <w:pPr>
        <w:spacing w:after="0" w:line="5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Amounts borrowed under the credit facility bear interest at LIBOR or an Alternate Base Rate, plus in each case, an additional margin based on the Senior Leverage Ratio. The Credit Agreement includes additional margin ranges on Alternate Base Rate loans between 0.75% and 1.5% and between 1.75% and 2.5% on LIBOR-based loans.</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Credit Agreement also permits us to borrow in Canadian dollars with a sublimit of U.S. $15.0 million. Amounts borrowed in Canadian dollars will bear interest either at the CDOR Rate, plus an additional margin based on the Senior Leverage Ratio ranging from 1.75% to 2.5%, or at the Canadian Prime Rate, plus an additional margin based on the Senior Leverage Ratio ranging from 2.25% to 3.0%.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0.30% and 0.45% based on the Senior Leverage Ratio.</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noted previously, the Credit Agreement includes a Senior Leverage Ratio covenant which provides that Consolidated Funded Indebtedness may not exceed 2.5 times Consolidated EBITDA, as defined in the agreement, over the previous four quarters. For the four quarters ended March 31, 2012, Consolidated EBITDA was $49.0 million. Accordingly, at March 31, 2012, Consolidated Funded Indebtedness in excess of $122.6 million would have violated the Senior Leverage Ratio covenant.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credit facility was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44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68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2012</w:t>
            </w:r>
          </w:p>
        </w:tc>
        <w:tc>
          <w:tcPr>
            <w:tcW w:w="1020" w:type="dxa"/>
            <w:vAlign w:val="bottom"/>
            <w:gridSpan w:val="2"/>
          </w:tcPr>
          <w:p>
            <w:pPr>
              <w:jc w:val="right"/>
              <w:ind w:right="7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tcBorders>
              <w:top w:val="single" w:sz="8" w:color="auto"/>
            </w:tcBorders>
            <w:gridSpan w:val="3"/>
          </w:tcPr>
          <w:p>
            <w:pPr>
              <w:jc w:val="right"/>
              <w:ind w:right="377"/>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Senior credit facility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$125,000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Capacity constraint due to the Senior Leverage Ratio</w:t>
            </w:r>
          </w:p>
        </w:tc>
        <w:tc>
          <w:tcPr>
            <w:tcW w:w="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w:t>
            </w:r>
          </w:p>
        </w:tc>
        <w:tc>
          <w:tcPr>
            <w:tcW w:w="440" w:type="dxa"/>
            <w:vAlign w:val="bottom"/>
          </w:tcPr>
          <w:p>
            <w:pPr>
              <w:spacing w:after="0"/>
              <w:rPr>
                <w:sz w:val="19"/>
                <w:szCs w:val="19"/>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Capacity under the credit facility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122,555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Borrowings outstanding</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1,757</w:t>
            </w:r>
          </w:p>
        </w:tc>
        <w:tc>
          <w:tcPr>
            <w:tcW w:w="4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Letters of credit issued</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6,919</w:t>
            </w: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7,484</w:t>
            </w:r>
          </w:p>
        </w:tc>
        <w:tc>
          <w:tcPr>
            <w:tcW w:w="100" w:type="dxa"/>
            <w:vAlign w:val="bottom"/>
            <w:shd w:val="clear" w:color="auto" w:fill="CCEEFF"/>
          </w:tcPr>
          <w:p>
            <w:pPr>
              <w:spacing w:after="0"/>
              <w:rPr>
                <w:sz w:val="18"/>
                <w:szCs w:val="18"/>
                <w:color w:val="auto"/>
              </w:rPr>
            </w:pPr>
          </w:p>
        </w:tc>
      </w:tr>
      <w:tr>
        <w:trPr>
          <w:trHeight w:val="222"/>
        </w:trPr>
        <w:tc>
          <w:tcPr>
            <w:tcW w:w="6880" w:type="dxa"/>
            <w:vAlign w:val="bottom"/>
            <w:gridSpan w:val="2"/>
          </w:tcPr>
          <w:p>
            <w:pPr>
              <w:spacing w:after="0"/>
              <w:rPr>
                <w:sz w:val="20"/>
                <w:szCs w:val="20"/>
                <w:color w:val="auto"/>
              </w:rPr>
            </w:pPr>
            <w:r>
              <w:rPr>
                <w:rFonts w:ascii="Arial" w:cs="Arial" w:eastAsia="Arial" w:hAnsi="Arial"/>
                <w:sz w:val="18"/>
                <w:szCs w:val="18"/>
                <w:color w:val="auto"/>
              </w:rPr>
              <w:t>Availability under the senior credit facility</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2"/>
              </w:rPr>
              <w:t>$ 113,879</w:t>
            </w:r>
          </w:p>
        </w:tc>
        <w:tc>
          <w:tcPr>
            <w:tcW w:w="1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67,516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 compliance with all affirmative, negative, and financial covenants under the credit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9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Company complies with ASC 740, “Income Taxes”. Deferred income taxes are computed using the liability method whereby deferred tax assets and liabilities are recognized based on temporary differences between the financial and tax basis of assets and liabilities using presently enacted tax rates. Valuation allowances are established against deferred tax assets to the extent management believes that it is not probable that the assets will be recovered.</w:t>
      </w:r>
    </w:p>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provides for income taxes regardless of whether it has received a tax assessment. Taxes are provided when it is considered probable that additional taxes will be due in excess of amounts included in the tax return. The Company regularly reviews exposure to additional income taxes due, and as further information is known or events occur, adjustments may be recorded.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coverage limits and self-insured retentions. As of March 31, 2012 and June 30, 2011, the Company recorded insurance reserves totaling $7.2 million and $7.5 million, respectively. These amounts represent our best estimate of our ultimate obligations for asserted claims, insurance premium obligations and claims incurred but not yet reported.</w:t>
      </w:r>
    </w:p>
    <w:p>
      <w:pPr>
        <w:spacing w:after="0" w:line="14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insurance policies or surety bonds for specific customers or provide letters of credit in lieu of bonds to satisfy performance and financial guarantees on some projects. Matrix Service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1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Unapproved Change Orders and Claims</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Costs and estimated earnings in excess of billings on uncompleted contracts included revenues for claims related to unapproved change orders of $6.5 million and $5.1 million at March 31, 2012 and June 30, 2011, respectively. Generally, collection of amounts related to claims on unapproved change orders is expected within twelve months. However, customers may not pay these amounts until final resolution of related claims, and accordingly, collection of these amounts may extend beyond one year.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Claims Receivable</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continues to pursue collection of certain claim receivables acquired in connection with a fiscal 2009 acquisition. In September 2011, we received $1.5 million as settlement for a portion of these claims. The settlement amount approximated the book value of the receivable; therefore, no gain or loss was recognized. The recorded value at March 31, 2012 of $0.7 million represents the Company’s best estimate of the remaining amount to be collected. The remaining claim receivable of $0.7 million and related trade receivables totaling $2.8 million will not be collected until the claim is resolved and will require mediation or litigation for successful recovery. The ultimate amount realized may be significantly different than the recorded amounts resulting in a material adjustment to future earnings.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Company and its subsidiaries are named as defendants in various other legal actions. It is the opinion of management that none of the known legal actions will have a material impact on the Company’s financial position, results of operations or liquidity.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Common Share</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Basic earnings per share (“Basic EPS”) is calculated based on the weighted average shares outstanding during the period. Diluted earnings per share (“Diluted EPS”) includes the dilutive effect of stock options and nonvested deferred shares.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ind w:left="1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5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March 31,</w:t>
            </w:r>
          </w:p>
        </w:tc>
        <w:tc>
          <w:tcPr>
            <w:tcW w:w="4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March 31,</w:t>
            </w:r>
          </w:p>
        </w:tc>
        <w:tc>
          <w:tcPr>
            <w:tcW w:w="460" w:type="dxa"/>
            <w:vAlign w:val="bottom"/>
          </w:tcPr>
          <w:p>
            <w:pPr>
              <w:spacing w:after="0"/>
              <w:rPr>
                <w:sz w:val="11"/>
                <w:szCs w:val="11"/>
                <w:color w:val="auto"/>
              </w:rPr>
            </w:pPr>
          </w:p>
        </w:tc>
        <w:tc>
          <w:tcPr>
            <w:tcW w:w="9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2012</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2011</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60" w:type="dxa"/>
            <w:vAlign w:val="bottom"/>
            <w:gridSpan w:val="7"/>
          </w:tcPr>
          <w:p>
            <w:pPr>
              <w:ind w:left="320"/>
              <w:spacing w:after="0" w:line="142" w:lineRule="exact"/>
              <w:rPr>
                <w:sz w:val="20"/>
                <w:szCs w:val="20"/>
                <w:color w:val="auto"/>
              </w:rPr>
            </w:pPr>
            <w:r>
              <w:rPr>
                <w:rFonts w:ascii="Arial" w:cs="Arial" w:eastAsia="Arial" w:hAnsi="Arial"/>
                <w:sz w:val="14"/>
                <w:szCs w:val="14"/>
                <w:color w:val="auto"/>
                <w:w w:val="91"/>
              </w:rPr>
              <w:t>(In thousands, except per share data)</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4,862</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4,923</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15,402</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25,723</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26,425</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25,982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26,389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Basic EPS</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gridSpan w:val="2"/>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0.19</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0.19</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0.59</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Weighted average shares outstanding—basic</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25,723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26,425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25,982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Dilutive stock options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Dilutive nonvested deferred shares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26,079</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26,723</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26,333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26,636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Diluted EPS</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gridSpan w:val="2"/>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0.19</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0.18</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0.58</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securities are considered antidilutive and have been excluded from the calculation of Diluted EPS: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44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gridSpan w:val="4"/>
          </w:tcPr>
          <w:p>
            <w:pPr>
              <w:ind w:lef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March 31,</w:t>
            </w:r>
          </w:p>
        </w:tc>
        <w:tc>
          <w:tcPr>
            <w:tcW w:w="6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March 31,</w:t>
            </w:r>
          </w:p>
        </w:tc>
        <w:tc>
          <w:tcPr>
            <w:tcW w:w="620" w:type="dxa"/>
            <w:vAlign w:val="bottom"/>
          </w:tcPr>
          <w:p>
            <w:pPr>
              <w:spacing w:after="0"/>
              <w:rPr>
                <w:sz w:val="11"/>
                <w:szCs w:val="11"/>
                <w:color w:val="auto"/>
              </w:rPr>
            </w:pPr>
          </w:p>
        </w:tc>
        <w:tc>
          <w:tcPr>
            <w:tcW w:w="12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March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240" w:type="dxa"/>
            <w:vAlign w:val="bottom"/>
            <w:gridSpan w:val="2"/>
          </w:tcPr>
          <w:p>
            <w:pPr>
              <w:jc w:val="right"/>
              <w:ind w:right="86"/>
              <w:spacing w:after="0"/>
              <w:rPr>
                <w:sz w:val="20"/>
                <w:szCs w:val="20"/>
                <w:color w:val="auto"/>
              </w:rPr>
            </w:pPr>
            <w:r>
              <w:rPr>
                <w:rFonts w:ascii="Arial" w:cs="Arial" w:eastAsia="Arial" w:hAnsi="Arial"/>
                <w:sz w:val="14"/>
                <w:szCs w:val="14"/>
                <w:b w:val="1"/>
                <w:bCs w:val="1"/>
                <w:color w:val="auto"/>
              </w:rPr>
              <w:t>2012</w:t>
            </w:r>
          </w:p>
        </w:tc>
        <w:tc>
          <w:tcPr>
            <w:tcW w:w="122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2011</w:t>
            </w:r>
          </w:p>
        </w:tc>
        <w:tc>
          <w:tcPr>
            <w:tcW w:w="620" w:type="dxa"/>
            <w:vAlign w:val="bottom"/>
          </w:tcPr>
          <w:p>
            <w:pPr>
              <w:spacing w:after="0"/>
              <w:rPr>
                <w:sz w:val="14"/>
                <w:szCs w:val="14"/>
                <w:color w:val="auto"/>
              </w:rPr>
            </w:pPr>
          </w:p>
        </w:tc>
        <w:tc>
          <w:tcPr>
            <w:tcW w:w="600" w:type="dxa"/>
            <w:vAlign w:val="bottom"/>
          </w:tcPr>
          <w:p>
            <w:pPr>
              <w:jc w:val="right"/>
              <w:ind w:right="102"/>
              <w:spacing w:after="0"/>
              <w:rPr>
                <w:sz w:val="20"/>
                <w:szCs w:val="20"/>
                <w:color w:val="auto"/>
              </w:rPr>
            </w:pPr>
            <w:r>
              <w:rPr>
                <w:rFonts w:ascii="Arial" w:cs="Arial" w:eastAsia="Arial" w:hAnsi="Arial"/>
                <w:sz w:val="14"/>
                <w:szCs w:val="14"/>
                <w:b w:val="1"/>
                <w:bCs w:val="1"/>
                <w:color w:val="auto"/>
              </w:rPr>
              <w:t>2012</w:t>
            </w:r>
          </w:p>
        </w:tc>
        <w:tc>
          <w:tcPr>
            <w:tcW w:w="620" w:type="dxa"/>
            <w:vAlign w:val="bottom"/>
          </w:tcPr>
          <w:p>
            <w:pPr>
              <w:spacing w:after="0"/>
              <w:rPr>
                <w:sz w:val="14"/>
                <w:szCs w:val="14"/>
                <w:color w:val="auto"/>
              </w:rPr>
            </w:pPr>
          </w:p>
        </w:tc>
        <w:tc>
          <w:tcPr>
            <w:tcW w:w="580" w:type="dxa"/>
            <w:vAlign w:val="bottom"/>
          </w:tcPr>
          <w:p>
            <w:pPr>
              <w:jc w:val="right"/>
              <w:ind w:right="8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gridSpan w:val="4"/>
          </w:tcPr>
          <w:p>
            <w:pPr>
              <w:ind w:left="520"/>
              <w:spacing w:after="0" w:line="142" w:lineRule="exact"/>
              <w:rPr>
                <w:sz w:val="20"/>
                <w:szCs w:val="20"/>
                <w:color w:val="auto"/>
              </w:rPr>
            </w:pPr>
            <w:r>
              <w:rPr>
                <w:rFonts w:ascii="Arial" w:cs="Arial" w:eastAsia="Arial" w:hAnsi="Arial"/>
                <w:sz w:val="14"/>
                <w:szCs w:val="14"/>
                <w:color w:val="auto"/>
              </w:rPr>
              <w:t>(In thousands)</w:t>
            </w: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6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Nonvested deferred shares</w:t>
            </w:r>
          </w:p>
        </w:tc>
        <w:tc>
          <w:tcPr>
            <w:tcW w:w="26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 antidilutive securities</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8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32</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640" w:type="dxa"/>
            <w:vAlign w:val="bottom"/>
            <w:vMerge w:val="restart"/>
          </w:tcPr>
          <w:p>
            <w:pPr>
              <w:jc w:val="right"/>
              <w:ind w:right="677"/>
              <w:spacing w:after="0"/>
              <w:rPr>
                <w:sz w:val="20"/>
                <w:szCs w:val="20"/>
                <w:color w:val="auto"/>
              </w:rPr>
            </w:pPr>
            <w:r>
              <w:rPr>
                <w:rFonts w:ascii="Arial" w:cs="Arial" w:eastAsia="Arial" w:hAnsi="Arial"/>
                <w:sz w:val="18"/>
                <w:szCs w:val="18"/>
                <w:color w:val="auto"/>
              </w:rPr>
              <w:t>-14-</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459" w:right="5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 completed an update of its long-term business strategy in the third quarter of fiscal 2012. This strategy update along with certain changes in our organizational structure led to a reassessment of our operating segments. As a result of these events, we have revised our reportable segments to better align with the current management of the business. Accordingly, our new segments are: Electrical Infrastructure, Oil Gas &amp; Chemical, Storage Solutions, and Industrial. Our previous operating segments were Construction Services and Repair and Maintenance Services.</w:t>
      </w:r>
    </w:p>
    <w:p>
      <w:pPr>
        <w:spacing w:after="0" w:line="113"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The Electrical Infrastructure segment primarily encompasses high voltage services to investor owned utilities, and construction and maintenance services to clients with power plants. High voltage services include construction of new substations, existing substation upgrades, short run transmission line installations, distribution upgrades and maintenance, and storm restoration services. Construction and maintenance services are provided to a variety of power generation facilities such as combined cycle plants, nuclear facilities, coal fired power stations, and renewable energy.</w:t>
      </w:r>
    </w:p>
    <w:p>
      <w:pPr>
        <w:spacing w:after="0" w:line="11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Oil Gas &amp; Chemical segment includes our traditional turnaround activities, plant services and capital construction work in the downstream petroleum industry. Another key offering is our industrial cleaning services which include hydroblasting and vacuum services across most sectors of the energy industry. We also perform work in alternative fuels, cogeneration, industrial and natural gas, and upstream petroleum.</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Storage Solutions segment includes new construction of, as well as planned and emergency maintenance services for crude and refined products aboveground storage tanks. Also included in the Storage Solutions segment is work related to specialty storage tanks including liquefied natural gas (“LNG”), liquid nitrogen/liquid oxygen (“LIN/LOX”), liquid petroleum (“LPG”) tanks and other specialty vessels including spheres. Finally, the Storage Solutions segment includes balance of plant work in storage terminals and tank farms.</w:t>
      </w:r>
    </w:p>
    <w:p>
      <w:pPr>
        <w:spacing w:after="0" w:line="143"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Industrial segment includes work in the mining and metals industry, material handling, thermal vacuum chambers, as well as work in other industries including, pharmaceutical, pulp and paper, food and beverage and other miscellaneous industrial markets.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Other consists of corporate asset balances.</w:t>
      </w:r>
    </w:p>
    <w:p>
      <w:pPr>
        <w:spacing w:after="0" w:line="9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chief operating decision maker evaluates performance and allocates resources based on operating income. The results of each operating segment include an allocation of corporate costs. The accounting policies of the reportable segments are the same as those described in the summary of significant accounting policies. Intersegment sales and transfers are recorded at cost; therefore, no intercompany profit or loss is recognized.</w:t>
      </w:r>
    </w:p>
    <w:p>
      <w:pPr>
        <w:spacing w:after="0" w:line="107"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Segment assets consist primarily of accounts receivable, costs and estimated earnings in excess of billings on uncompleted contracts, property, plant and equipment, goodwill and other intangible assets.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53"/>
              <w:spacing w:after="0"/>
              <w:rPr>
                <w:sz w:val="20"/>
                <w:szCs w:val="20"/>
                <w:color w:val="auto"/>
              </w:rPr>
            </w:pPr>
            <w:r>
              <w:rPr>
                <w:rFonts w:ascii="Arial" w:cs="Arial" w:eastAsia="Arial" w:hAnsi="Arial"/>
                <w:sz w:val="14"/>
                <w:szCs w:val="14"/>
                <w:b w:val="1"/>
                <w:bCs w:val="1"/>
                <w:color w:val="auto"/>
                <w:w w:val="93"/>
              </w:rPr>
              <w:t>Electrical</w:t>
            </w:r>
          </w:p>
        </w:tc>
        <w:tc>
          <w:tcPr>
            <w:tcW w:w="280" w:type="dxa"/>
            <w:vAlign w:val="bottom"/>
          </w:tcPr>
          <w:p>
            <w:pPr>
              <w:spacing w:after="0"/>
              <w:rPr>
                <w:sz w:val="14"/>
                <w:szCs w:val="14"/>
                <w:color w:val="auto"/>
              </w:rPr>
            </w:pPr>
          </w:p>
        </w:tc>
        <w:tc>
          <w:tcPr>
            <w:tcW w:w="9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8"/>
              </w:rPr>
              <w:t>Oil Gas &amp;</w:t>
            </w:r>
          </w:p>
        </w:tc>
        <w:tc>
          <w:tcPr>
            <w:tcW w:w="10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Storage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0"/>
              </w:rPr>
              <w:t>Infrastructure</w:t>
            </w:r>
          </w:p>
        </w:tc>
        <w:tc>
          <w:tcPr>
            <w:tcW w:w="280" w:type="dxa"/>
            <w:vAlign w:val="bottom"/>
          </w:tcPr>
          <w:p>
            <w:pPr>
              <w:spacing w:after="0"/>
              <w:rPr>
                <w:sz w:val="14"/>
                <w:szCs w:val="14"/>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6"/>
              </w:rPr>
              <w:t>Chemical</w:t>
            </w: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1"/>
              </w:rPr>
              <w:t>Solutions</w:t>
            </w:r>
          </w:p>
        </w:tc>
        <w:tc>
          <w:tcPr>
            <w:tcW w:w="1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Industrial</w:t>
            </w:r>
          </w:p>
        </w:tc>
        <w:tc>
          <w:tcPr>
            <w:tcW w:w="8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Months Ended March 31, 2012</w:t>
            </w:r>
          </w:p>
        </w:tc>
        <w:tc>
          <w:tcPr>
            <w:tcW w:w="1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Gross revenues</w:t>
            </w:r>
          </w:p>
        </w:tc>
        <w:tc>
          <w:tcPr>
            <w:tcW w:w="1740" w:type="dxa"/>
            <w:vAlign w:val="bottom"/>
            <w:gridSpan w:val="2"/>
          </w:tcPr>
          <w:p>
            <w:pPr>
              <w:ind w:left="16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37,621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55,569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88,326</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3,112</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$184,628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Less: Inter-segment revenues</w:t>
            </w:r>
          </w:p>
        </w:tc>
        <w:tc>
          <w:tcPr>
            <w:tcW w:w="1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80" w:type="dxa"/>
            <w:vAlign w:val="bottom"/>
            <w:gridSpan w:val="2"/>
          </w:tcPr>
          <w:p>
            <w:pPr>
              <w:spacing w:after="0"/>
              <w:rPr>
                <w:sz w:val="20"/>
                <w:szCs w:val="20"/>
                <w:color w:val="auto"/>
              </w:rPr>
            </w:pPr>
            <w:r>
              <w:rPr>
                <w:rFonts w:ascii="Arial" w:cs="Arial" w:eastAsia="Arial" w:hAnsi="Arial"/>
                <w:sz w:val="18"/>
                <w:szCs w:val="18"/>
                <w:color w:val="auto"/>
              </w:rPr>
              <w:t>Consolidated revenues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37,621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55,569</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87,597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3,112</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183,899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5,015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9,999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Operating income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2,540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3,745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(792)</w:t>
            </w:r>
          </w:p>
        </w:tc>
        <w:tc>
          <w:tcPr>
            <w:tcW w:w="8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63,222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131,673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13,744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3"/>
              </w:rPr>
              <w:t>53,176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March 31, 2011</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Gross revenues</w:t>
            </w:r>
          </w:p>
        </w:tc>
        <w:tc>
          <w:tcPr>
            <w:tcW w:w="17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32,501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68,616</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$136,727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Less: Inter-segment revenues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Consolidated revenues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32,246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68,477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Gross profit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3,846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3,480</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10,245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999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18,570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4,654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Segment assets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50,950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40,935</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118,793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14,046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w w:val="83"/>
              </w:rPr>
              <w:t>68,083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292,807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Nine Months Ended March 31, 2012</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Gross revenues</w:t>
            </w:r>
          </w:p>
        </w:tc>
        <w:tc>
          <w:tcPr>
            <w:tcW w:w="1740" w:type="dxa"/>
            <w:vAlign w:val="bottom"/>
            <w:gridSpan w:val="2"/>
          </w:tcPr>
          <w:p>
            <w:pPr>
              <w:ind w:left="16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103,261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151,318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283,958</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17,763</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$556,300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Less: Inter-segment revenues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Consolidated revenues</w:t>
            </w:r>
          </w:p>
        </w:tc>
        <w:tc>
          <w:tcPr>
            <w:tcW w:w="1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80" w:type="dxa"/>
            <w:vAlign w:val="bottom"/>
            <w:gridSpan w:val="2"/>
            <w:vMerge w:val="continue"/>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103,261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151,110</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282,050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17,763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554,184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14,298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33,075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Operating income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5,761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5,744</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14,518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(798)</w:t>
            </w:r>
          </w:p>
        </w:tc>
        <w:tc>
          <w:tcPr>
            <w:tcW w:w="8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63,222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131,673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13,744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3"/>
              </w:rPr>
              <w:t>53,176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Nine Months Ended March 31, 2011</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Gross revenues</w:t>
            </w:r>
          </w:p>
        </w:tc>
        <w:tc>
          <w:tcPr>
            <w:tcW w:w="174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126,158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96,186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215,922</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26,065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Less: Inter-segment revenues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Consolidated revenues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95,810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215,397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26,065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463,423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Gross profit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15,004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9,109</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27,202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2,725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54,040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10,879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Segment assets</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50,950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40,935</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118,793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14,046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w w:val="83"/>
              </w:rPr>
              <w:t>68,083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292,807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740" w:type="dxa"/>
            <w:vAlign w:val="bottom"/>
            <w:gridSpan w:val="2"/>
          </w:tcPr>
          <w:p>
            <w:pPr>
              <w:ind w:left="1380"/>
              <w:spacing w:after="0"/>
              <w:rPr>
                <w:sz w:val="20"/>
                <w:szCs w:val="20"/>
                <w:color w:val="auto"/>
              </w:rPr>
            </w:pPr>
            <w:r>
              <w:rPr>
                <w:rFonts w:ascii="Arial" w:cs="Arial" w:eastAsia="Arial" w:hAnsi="Arial"/>
                <w:sz w:val="18"/>
                <w:szCs w:val="18"/>
                <w:color w:val="auto"/>
              </w:rPr>
              <w:t>-16-</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18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CRITICAL ACCOUNTING ESTIMATES</w:t>
      </w:r>
    </w:p>
    <w:p>
      <w:pPr>
        <w:spacing w:after="0" w:line="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There have been no material changes in our critical accounting policies from those reported in our fiscal 2011 Annual Report on Form 10-K filed with the SEC. For more information on our critical accounting policies, see Part II, Item 7 of our fiscal 2011 Annual Report on Form 10-K. The following section provides certain information with respect to our critical accounting estimates as of the close of our most recent quarterly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Unapproved Change Orders and Claims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Costs and estimated earnings in excess of billings on uncompleted contracts included revenues for claims related to unapproved change orders of $6.5 million and $5.1 million at March 31, 2012 and June 30, 2011, respectively. The amounts ultimately realized may be significantly different than the recorded amounts resulting in a material adjustment to future earnings.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maintain insurance coverage for various aspects of our operations. However, we retain exposure to potential losses through the use of deductibles, coverage limits and self-insured retentions. As of March 31, 2012 and June 30, 2011, the Company recorded insurance reserves totaling $7.2 million and $7.5 million, respectively. These amounts represent our best estimate of our ultimate obligations for asserted claims, insurance premium obligations and claims incurred but not yet reported. We establish reserves for claims using a combination of actuarially determined estimates and case-by-case evaluations of the underlying claim data and update our evaluations as further information becomes known. Judgments and assumptions, including the assumed losses for claims incurred but not reported, are inherent in our reserve accruals; as a result, changes in assumptions or claims experience could result in changes to these estimates in the future. If actual results of claim settlements are different than the amounts estimated, we may be exposed to gains and losses that could be significant.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Goodwill is tested for impairment at the reporting unit level. The change in operating segments, which is discussed in Note 9, Segment Information, requires that we change our reporting units based on the new segments. Goodwill was allocated to the new reporting units in accordance with ASC 350 – Intangibles – Goodwill and Other. We do not believe that the change in operating segments and reporting units or the subsequent allocation of goodwill to the new reporting units constitutes an event that requires us to perform an interim impairment test. Additionally, we do not anticipate that the allocation of goodwill to the new reporting units will significantly affect the risk of impairment charges in future periods. Therefore, we will continue to perform our annual impairment test in the fourth quarter of each fiscal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Claims Receivable</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continues to pursue collection of certain claim receivables acquired in connection with a fiscal 2009 acquisition. In September 2011, we received $1.5 million as settlement for a portion of these claims. The settlement amount approximated the book value of the receivable; therefore, no gain or loss was recognized. The recorded value at March 31, 2012 of $0.7 million represents the Company’s best estimate of the remaining amount to be collected. The remaining claim receivable of $0.7 million and related trade receivables totaling $2.8 million will not be collected until the claim is resolved and will require mediation or litigation for successful recovery. The ultimate amount realized may be significantly different than the recorded amounts resulting in a material adjustment to future earnings.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Standards Update 2011-04, Amendments to Achieve Common Fair Value Measurement and Disclosure Requirements in U.S. GAAP and IFRSs</w:t>
      </w:r>
    </w:p>
    <w:p>
      <w:pPr>
        <w:spacing w:after="0" w:line="1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May 2011, the FASB issued ASU 2011-04, "Amendments to Achieve Common Fair Value Measurement and Disclosure Requirements in U.S. GAAP and IFRSs" ("ASU 2011-04"). ASU 2011-04 amends ASC 820, providing a consistent definition and measurement of fair value, as well as similar disclosure requirements between U.S. GAAP and International Financial Reporting Standards. ASU 2011-04 changes certain fair value measurement principles, clarifies the application of existing fair value measurement and expands the ASC 820 disclosure requirements, particularly for Level 3 fair value measurements. ASU 2011-04 is effective for interim and annual periods beginning after December 15, 2011. The Company's adoption of ASU 2011-04 is not expected to have a material effect on the Company's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2011-05, Comprehensive Income: Presentation of Comprehensive Income</w:t>
      </w:r>
    </w:p>
    <w:p>
      <w:pPr>
        <w:spacing w:after="0" w:line="9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Effective March 31, 2012 we adopted Accounting Standards Update No. 2011-05, “Comprehensive Income: Presentation of Comprehensive Income” (“ASU 2011-05”). ASU 2011-05 eliminated the option of presenting the components of other comprehensive income as part of the statement of stockholders’ equity. ASU 2011-05 requires that comprehensive income be reported in either a single contiguous statement of comprehensive income which contains two sections, net income and other comprehensive income, or in two separate but consecutive statements. We elected to present comprehensive income in two statements. The adoption of ASU 2011-05 did not impact the Company’s financial position or results of operations, as it only required a change in the format of the current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2011-09, Disclosures about an Employer’s Participation in a Multiemployer Plan</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September 2011, the FASB issued Accounting Standards Update No. 2011-09, Disclosures about an Employer’s Participation in a Multiemployer Plan (“ASU 2011-09”). ASU 2011-09 requires employers to make additional separate disclosures for multiemployer pension and other postretirement benefit plans. Additional disclosures include, but are not limited to:</w:t>
      </w:r>
    </w:p>
    <w:p>
      <w:pPr>
        <w:spacing w:after="0" w:line="59" w:lineRule="exact"/>
        <w:rPr>
          <w:sz w:val="20"/>
          <w:szCs w:val="20"/>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plans in which an employer participates;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level of participation, including the plans to which the employer is a significant contributor;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health of significant plans;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nature of the employer’s commitment to the plans.</w:t>
      </w:r>
    </w:p>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ASU 2011-09 does not change the current recognition and measurement guidance that requires an employer to recognize its required contribution as a pension or other postretirement benefit cost for the period and to recognize a liability for any contributions due at the reporting date. ASU 2011-09 also does not change the recognition, measurement or disclosure requirements for obligations related to an actual or potential withdrawal from a mulltiemployer plan. These obligations continue to be accounted for under ASC-450, Contingencies. Under ASC 450, if an obligation due to withdrawal from a multiemployer plan is probable and reasonably estimable, the recognition of a liability and disclosure of the contingency is required. If an obligation due to withdrawal from a multiemployer plan is reasonably possible, disclosure of the contingency is required.</w:t>
      </w:r>
    </w:p>
    <w:p>
      <w:pPr>
        <w:spacing w:after="0" w:line="12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ASU 2011-09 is effective for fiscal years ending after December 15, 2011, with early adoption permitted. The Company is currently gathering the necessary information and will include the required disclosures in its annual report for the twelve months ended June 30, 2012. We do not believe ASU 2011-09 will impact the Company’s financial position or results of operations, as it is only requiring additional disclosures regarding the Company’s participation in multiemployer plans.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completed an update of its long-term business strategy in the third quarter of fiscal 2012. This strategy update along with certain changes in our organizational structure led to a reassessment of our operating segments. As a result of these events, we have revised our reportable segments to better align with the current management of the business. Accordingly, our new segments are: Electrical Infrastructure, Oil Gas &amp; Chemical, Storage Solutions, and Industrial. Our previous operating segments were Construction Services and Repair and Maintenance Services.</w:t>
      </w:r>
    </w:p>
    <w:p>
      <w:pPr>
        <w:spacing w:after="0" w:line="113"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The Electrical Infrastructure segment primarily encompasses high voltage services to investor owned utilities, and construction and maintenance services to clients with power plants. High voltage services include construction of new substations, existing substation upgrades, short run transmission line installations, distribution upgrades and maintenance, and storm restoration services. Construction and maintenance services are provided to a variety of power generation facilities such as combined cycle plants, nuclear facilities, coal fired power stations, and renewable energy.</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Oil Gas &amp; Chemical segment includes our traditional turnaround activities, plant services and capital construction work in the downstream petroleum industry. Another key offering is our industrial cleaning services which include hydroblasting and vacuum services across most sectors of the energy industry. We also perform work in alternative fuels, cogeneration, industrial and natural gas, and upstream petroleum.</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Storage Solutions segment includes the new construction, as well as planned and emergency maintenance services for crude and refined products aboveground storage tanks. Also included in the Storage Solutions segment is work related to specialty storage tanks including liquefied natural gas (“LNG”), liquid nitrogen/liquid oxygen (“LIN/LOX”), liquid petroleum (“LPG”) tanks and other specialty vessels including spheres. Finally, the Storage Solutions segment includes balance of plant work in storage terminals and tank farms.</w:t>
      </w:r>
    </w:p>
    <w:p>
      <w:pPr>
        <w:spacing w:after="0" w:line="143"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Industrial segment includes work in the mining and metals industry, material handling, thermal vacuum chambers, as well as work in other industries including, pharmaceutical, pulp and paper, food and beverage and other miscellaneous industrial markets.</w:t>
      </w:r>
    </w:p>
    <w:p>
      <w:pPr>
        <w:spacing w:after="0" w:line="207" w:lineRule="exact"/>
        <w:rPr>
          <w:sz w:val="20"/>
          <w:szCs w:val="20"/>
          <w:color w:val="auto"/>
        </w:rPr>
      </w:pPr>
    </w:p>
    <w:p>
      <w:pPr>
        <w:ind w:right="4440"/>
        <w:spacing w:after="0" w:line="347" w:lineRule="auto"/>
        <w:rPr>
          <w:sz w:val="20"/>
          <w:szCs w:val="20"/>
          <w:color w:val="auto"/>
        </w:rPr>
      </w:pPr>
      <w:r>
        <w:rPr>
          <w:rFonts w:ascii="Arial" w:cs="Arial" w:eastAsia="Arial" w:hAnsi="Arial"/>
          <w:sz w:val="18"/>
          <w:szCs w:val="18"/>
          <w:b w:val="1"/>
          <w:bCs w:val="1"/>
          <w:color w:val="auto"/>
        </w:rPr>
        <w:t>Three Months Ended March 31, 2012 Compared to the Three Months Ended March 31, 2011 Consolidated</w:t>
      </w:r>
    </w:p>
    <w:p>
      <w:pPr>
        <w:spacing w:after="0" w:line="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Consolidated revenues were $183.9 million for the three months ended March 31, 2012, an increase of $47.6 million, or 34.9%, from consolidated revenues of $136.3 million in the same period in the prior fiscal year. The increase in consolidated revenues was a result of increases in the Electrical Infrastructure segment of $8.8 million, the Oil Gas &amp; Chemical segment of $23.4 million and the Storage Solutions segment of $19.1 million, partially offset by a decrease of $3.7 million in the Industrial segment.</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Consolidated gross profit increased from $18.6 million in the three months ended March 31, 2011 to $19.8 million in the three months ended March 31, 2012. The increase of $1.2 million, or 6.5%, was primarily due to higher revenues largely offset by lower gross margins, which decreased to 10.8% in the three months ended March 31, 2012 from 13.6% in the same period a year earlier.</w:t>
      </w:r>
    </w:p>
    <w:p>
      <w:pPr>
        <w:spacing w:after="0" w:line="14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Consolidated SG&amp;A expenses were $12.4 million in the three months ended March 31, 2012 compared to $10.9 million in the same period a year earlier. The increase of $1.5 million, or 13.8%, was primarily related to higher operating costs in the third quarter of fiscal 2012 due to increased business volumes and costs related to our investment in high growth areas of the business and related investment in support functions such as safety, marketing, corporate development, systems, and training. SG&amp;A expense as a percentage of revenue decreased to 6.7% in the three months ended March 31, 2012 compared to 8.0% in the same period in the prior fiscal year.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was $0.2 million in the three months ended March 31, 2012 and March 31, 2011.</w:t>
      </w:r>
    </w:p>
    <w:p>
      <w:pPr>
        <w:spacing w:after="0" w:line="17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Other income (loss) in the three months ended March 31, 2012 was a loss of $0.1 million compared to income of $0.5 million in the three months ended March 31, 2011. The prior period other income related primarily to foreign currency transaction gains.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tax rate was 32.5% for the three months ended March 31, 2012 and 38.0% in the three months ended March 31, 2011. The reduction in the effective tax rate in the three months ended March 31, 2012 was due to a change in estimate that was the result of an actual tax deduction exceeding the amount previously estimated.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Revenues in the Electrical Infrastructure segment totaled $37.6 million in the three months ended March 31, 2012 compared to $28.8 million in the same period a year earlier. The increase of $8.8 million was mainly due to the timing of projects, higher nuclear maintenance work and higher transmission and distribution work in the current year. Gross margins were 12.8% in the three months ended March 31, 2012 compared to 13.3% in the same period a year earlier.</w:t>
      </w:r>
    </w:p>
    <w:p>
      <w:pPr>
        <w:spacing w:after="0" w:line="10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described above, results of the Electrical Infrastructure segment were generally stronger in the three months ended March 31, 2012 when compared to the same period a year earlier. However, we experienced challenging conditions in our east coast operations, including instability in local refinery operations, warm winter weather, the impact of low natural gas prices as well as timing delays of various project start dates and contract awards. These factors caused a lower than anticipated volume of activity in the third quarter leading to an under recovery of construction overhead costs and are likely to negatively impact the segment’s revenues and operating margin in the fourth fiscal quarter.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9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Oil Gas &amp; Chemical revenues increased to $55.6 million in the three months ended March 31, 2012 from $32.2 million in the same period a year earlier. The increase of $23.4 million, or 72.7%, was due to a significantly higher level of turnaround work and an increase in capital construction work in the three months ended March 31, 2012. Gross margins were 9.0% in the three months ended March 31, 2012 compared to 10.8% in the same period a year earlier. The lower gross margins in the three months ended March 31, 2012 were due to lower margins on capital construction work partially offset by higher turnaround gross margins.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Storage Solutions revenues were $87.6 million in the three months ended March 31, 2012 compared to $68.5 million in the same period a year earlier. The revenue increase of $19.1 million, or 27.9%, was due primarily to higher revenues in our Canadian operations and an increase in domestic tank farm and terminal mechanical and civil work. Gross margins decreased from 15.0% in the three months ended March 31, 2011 to 11.4% in the same period in the current year. The lower margins in the current year were due to costs associated with unexpected warranty work and overall margin pressure.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90" w:lineRule="exact"/>
        <w:rPr>
          <w:sz w:val="20"/>
          <w:szCs w:val="20"/>
          <w:color w:val="auto"/>
        </w:rPr>
      </w:pPr>
    </w:p>
    <w:p>
      <w:pPr>
        <w:ind w:right="360"/>
        <w:spacing w:after="0" w:line="305" w:lineRule="auto"/>
        <w:rPr>
          <w:sz w:val="20"/>
          <w:szCs w:val="20"/>
          <w:color w:val="auto"/>
        </w:rPr>
      </w:pPr>
      <w:r>
        <w:rPr>
          <w:rFonts w:ascii="Arial" w:cs="Arial" w:eastAsia="Arial" w:hAnsi="Arial"/>
          <w:sz w:val="15"/>
          <w:szCs w:val="15"/>
          <w:color w:val="auto"/>
        </w:rPr>
        <w:t>Industrial segment revenues totaled $3.1 million in the three months ended March 31, 2012 compared to $6.8 million in the same period a year earlier. The decrease of $3.7 million, or 54.4%, was primarily due to one project, which contributed significant revenues in the prior year. Gross margins decreased from</w:t>
      </w:r>
    </w:p>
    <w:p>
      <w:pPr>
        <w:jc w:val="both"/>
        <w:spacing w:after="0" w:line="302" w:lineRule="auto"/>
        <w:rPr>
          <w:sz w:val="20"/>
          <w:szCs w:val="20"/>
          <w:color w:val="auto"/>
        </w:rPr>
      </w:pPr>
      <w:r>
        <w:rPr>
          <w:rFonts w:ascii="Arial" w:cs="Arial" w:eastAsia="Arial" w:hAnsi="Arial"/>
          <w:sz w:val="16"/>
          <w:szCs w:val="16"/>
          <w:color w:val="auto"/>
        </w:rPr>
        <w:t>14.7% in the three months ended March 31, 2011 to (1.7%) in the same period in the current year. The gross profit in the three months ended March 31, 2011 was positively affected by higher than normal profits that we were able to achieve on a relatively small number of projects. Gross margins for the three months ended March 31, 2012 were negatively impacted by startup costs related to our recent entry into the material handling and mining and metals markets.</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60"/>
        <w:spacing w:after="0" w:line="347" w:lineRule="auto"/>
        <w:rPr>
          <w:sz w:val="20"/>
          <w:szCs w:val="20"/>
          <w:color w:val="auto"/>
        </w:rPr>
      </w:pPr>
      <w:r>
        <w:rPr>
          <w:rFonts w:ascii="Arial" w:cs="Arial" w:eastAsia="Arial" w:hAnsi="Arial"/>
          <w:sz w:val="18"/>
          <w:szCs w:val="18"/>
          <w:b w:val="1"/>
          <w:bCs w:val="1"/>
          <w:color w:val="auto"/>
        </w:rPr>
        <w:t xml:space="preserve">Nine Months Ended March 31, 2012 Compared to the Nine Months Ended March 31, 2011 </w:t>
      </w:r>
      <w:r>
        <w:rPr>
          <w:rFonts w:ascii="Arial" w:cs="Arial" w:eastAsia="Arial" w:hAnsi="Arial"/>
          <w:sz w:val="18"/>
          <w:szCs w:val="18"/>
          <w:b w:val="1"/>
          <w:bCs w:val="1"/>
          <w:i w:val="1"/>
          <w:iCs w:val="1"/>
          <w:color w:val="auto"/>
        </w:rPr>
        <w:t>Consolidated</w:t>
      </w:r>
    </w:p>
    <w:p>
      <w:pPr>
        <w:spacing w:after="0" w:line="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Consolidated revenues were $554.2 million for the nine months ended March 31, 2012, an increase of $90.8 million, or 19.6%, from consolidated revenues of $463.4 million in the same period a year earlier. The increase in consolidated revenues was a result of an increase of $55.3 million in Oil Gas &amp; Chemical revenues and an increase of $66.7 million in Storage Solutions revenues partially offset by decreases in Electrical Infrastructure and Industrial revenues of $22.9 million and $8.3 million, respectively.</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Consolidated gross profit increased from $54.0 million in the nine months ended March 31, 2011 to $61.0 million in the nine months ended March 31, 2012. The increase of $7.0 million, or 13.0%, was primarily due to higher revenues, partially offset by lower gross margins which decreased to 11.0% in the nine months ended March 31, 2012 compared to 11.7% in the same period a year earlier.</w:t>
      </w:r>
    </w:p>
    <w:p>
      <w:pPr>
        <w:spacing w:after="0" w:line="14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Consolidated SG&amp;A expenses were $35.7 million in the nine months ended March 31, 2012 compared to $32.7 million in the same period a year earlier. The increase of $3.0 million, or 9.2%, was primarily due to higher operating costs in fiscal 2012 related to increased business volumes, costs related to our investment in high growth areas of the business and related investment in support functions such as safety, marketing, corporate development, systems and training, and a non-routine stock compensation charge, partially offset by lower legal costs as fiscal 2011 included costs related to a fraud investigation discussed in our previous filings. SG&amp;A expense as a percentage of revenue decreased to 6.4% in the nine months ended March 31, 2012 compared to 7.0% in the same period in the prior fiscal year.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was $0.6 million in the nine months ended March 31, 2012 and $0.5 million in the same period a year earlier.</w:t>
      </w:r>
    </w:p>
    <w:p>
      <w:pPr>
        <w:spacing w:after="0" w:line="1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Other expense in the nine months ended March 31, 2012 was $0.4 million and related primarily to foreign currency transaction losses. The nine months ended March 31, 2011 had other income of $0.6 million, which related primarily to foreign currency transaction gains.</w:t>
      </w:r>
    </w:p>
    <w:p>
      <w:pPr>
        <w:spacing w:after="0" w:line="13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effective tax rate was 36.3% for the nine months ended March 31, 2012 and 38.0% for the nine months ended March 31, 2011. The reduction in the effective tax rate in the nine months ended March 31, 2012 was due to a change in estimate that was the result of an actual tax deduction exceeding the amount previously estimated.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9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Revenues in the Electrical Infrastructure segment decreased from $126.2 million in nine months ended March 31, 2011 to $103.3 million for the same period in fiscal 2012. The decrease of $22.9 million, or 18.1%, was primarily due to unfavorable conditions in our east coast operations including instability in local refinery operations, warm winter weather, the impact of low natural gas prices as well as timing delays of various project start dates and contract awards in the current year and to the completion of a cogeneration project in the prior year. Gross margins were 12.2% in the nine months ended March 31, 2012 compared to 11.9% in the same period a year earlier.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Revenues in the Oil Gas &amp; Chemical segment increased to $151.1 million in the nine months ended March 31, 2012 compared to $95.8 million in the same period a year earlier. The increase of $55.3 million, or 57.7%, was due to a significantly higher volume of turnaround work and a higher level of capital construction projects. Gross margins were unchanged at 9.5%.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Revenues in the Storage Solutions segment increased to $282.1 million in the nine months ended March 31, 2012 compared to $215.4 million in the same period a year earlier. The increase of $66.7 million, or 31.0%, was due to higher levels of work both domestically and in Canada in our core aboveground storage tank business and an increase in domestic tank farm and terminal balance of plant work.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Gross margins decreased from 12.6% in the nine months ended March 31, 2011 to 11.7% in the same period this year. The lower margins in the current year were due to costs associated with unexpected warranty work and overall margin pressure.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Revenues in the Industrial segment decreased to $17.8 million in the nine months ended March 31, 2012 compared to $26.1 million in the same period a year earlier. The decrease in revenue of $8.3 million, or 31.8%, was due to the timing of revenues on a single project. This project accounted for $8.3 million of revenues for the nine months ended March 31, 2011 and $2.2 million in the same period in the current year. Gross margins decreased from 10.5% in the nine months ended March 31, 2011 to 5.7% in the same period in the current year. Gross margins for the nine months ended March 31, 2012 were negatively impacted by startup costs related to our recent entry into the material handling and mining and metals markets.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define backlog as the total dollar amount of revenues that we expect to recognize as a result of performing work that has been awarded to us through signed contracts that we consider firm. The following contract types are considered firm:</w:t>
      </w:r>
    </w:p>
    <w:p>
      <w:pPr>
        <w:spacing w:after="0" w:line="51" w:lineRule="exact"/>
        <w:rPr>
          <w:sz w:val="20"/>
          <w:szCs w:val="20"/>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fixed-price arrangements;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90" w:lineRule="exact"/>
        <w:rPr>
          <w:rFonts w:ascii="Arial" w:cs="Arial" w:eastAsia="Arial" w:hAnsi="Arial"/>
          <w:sz w:val="18"/>
          <w:szCs w:val="18"/>
          <w:color w:val="auto"/>
        </w:rPr>
      </w:pPr>
    </w:p>
    <w:p>
      <w:pPr>
        <w:ind w:left="440" w:right="240" w:hanging="324"/>
        <w:spacing w:after="0" w:line="268"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time and material contracts in which the estimated contract value is firm or can be estimated with a reasonable amount of certainty in both timing and amounts.</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For long-term maintenance contracts we include only the amounts that we expect to recognize into revenue over the next 12 months. For all other arrangements, we calculate backlog as the estimated contract amount less the revenue recognized as of the reporting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three months ended March 31,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Electrical</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Oil Gas &amp;</w:t>
            </w:r>
          </w:p>
        </w:tc>
        <w:tc>
          <w:tcPr>
            <w:tcW w:w="18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Storage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6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Infrastructure</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Chemical</w:t>
            </w:r>
          </w:p>
        </w:tc>
        <w:tc>
          <w:tcPr>
            <w:tcW w:w="18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Solutions</w:t>
            </w:r>
          </w:p>
        </w:tc>
        <w:tc>
          <w:tcPr>
            <w:tcW w:w="14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Industrial</w:t>
            </w:r>
          </w:p>
        </w:tc>
        <w:tc>
          <w:tcPr>
            <w:tcW w:w="12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220"/>
              <w:spacing w:after="0" w:line="142" w:lineRule="exact"/>
              <w:rPr>
                <w:sz w:val="20"/>
                <w:szCs w:val="20"/>
                <w:color w:val="auto"/>
              </w:rPr>
            </w:pPr>
            <w:r>
              <w:rPr>
                <w:rFonts w:ascii="Arial" w:cs="Arial" w:eastAsia="Arial" w:hAnsi="Arial"/>
                <w:sz w:val="14"/>
                <w:szCs w:val="14"/>
                <w:color w:val="auto"/>
                <w:w w:val="89"/>
              </w:rPr>
              <w:t>(In thousands)</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Backlog as of December 31, 2011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119,954</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$ 69,038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$240,227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$ 433,580</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Net awards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28,242</w:t>
            </w:r>
          </w:p>
        </w:tc>
        <w:tc>
          <w:tcPr>
            <w:tcW w:w="3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61,105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100,337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15,567</w:t>
            </w:r>
          </w:p>
        </w:tc>
        <w:tc>
          <w:tcPr>
            <w:tcW w:w="1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205,251</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(37,621)</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(55,569)</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(87,597)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(3,112)</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(183,899)</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rPr>
              <w:t>Backlog as of March 31, 2012</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0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110,575</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$ 74,574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252,967</w:t>
            </w:r>
          </w:p>
        </w:tc>
        <w:tc>
          <w:tcPr>
            <w:tcW w:w="180" w:type="dxa"/>
            <w:vAlign w:val="bottom"/>
          </w:tcPr>
          <w:p>
            <w:pPr>
              <w:spacing w:after="0"/>
              <w:rPr>
                <w:sz w:val="19"/>
                <w:szCs w:val="19"/>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16,816</w:t>
            </w:r>
          </w:p>
        </w:tc>
        <w:tc>
          <w:tcPr>
            <w:tcW w:w="18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$ 454,932</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March 31,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nine months ended March 31, 2012:</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9"/>
              </w:rPr>
              <w:t>Electrical</w:t>
            </w: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Oil Gas &amp;</w:t>
            </w:r>
          </w:p>
        </w:tc>
        <w:tc>
          <w:tcPr>
            <w:tcW w:w="24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Storage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Infrastructure</w:t>
            </w:r>
          </w:p>
        </w:tc>
        <w:tc>
          <w:tcPr>
            <w:tcW w:w="8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Chemical</w:t>
            </w:r>
          </w:p>
        </w:tc>
        <w:tc>
          <w:tcPr>
            <w:tcW w:w="24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Solutions</w:t>
            </w:r>
          </w:p>
        </w:tc>
        <w:tc>
          <w:tcPr>
            <w:tcW w:w="160" w:type="dxa"/>
            <w:vAlign w:val="bottom"/>
          </w:tcPr>
          <w:p>
            <w:pPr>
              <w:spacing w:after="0"/>
              <w:rPr>
                <w:sz w:val="14"/>
                <w:szCs w:val="14"/>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5"/>
              </w:rPr>
              <w:t>Industrial</w:t>
            </w:r>
          </w:p>
        </w:tc>
        <w:tc>
          <w:tcPr>
            <w:tcW w:w="18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color w:val="auto"/>
                <w:w w:val="98"/>
              </w:rPr>
              <w:t>(In thousands)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Backlog as of June 30, 2011</w:t>
            </w:r>
          </w:p>
        </w:tc>
        <w:tc>
          <w:tcPr>
            <w:tcW w:w="228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85,551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92,162</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$ 218,073</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9,332</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$ 405,118</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Net awards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128,285</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133,522</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316,944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25,247</w:t>
            </w:r>
          </w:p>
        </w:tc>
        <w:tc>
          <w:tcPr>
            <w:tcW w:w="22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603,998</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(103,261)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(151,110)</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(282,050)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(17,763)</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(554,184)</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8"/>
                <w:szCs w:val="18"/>
                <w:color w:val="auto"/>
              </w:rPr>
              <w:t>Backlog as of March 31, 2012</w:t>
            </w:r>
          </w:p>
        </w:tc>
        <w:tc>
          <w:tcPr>
            <w:tcW w:w="2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60" w:type="dxa"/>
            <w:vAlign w:val="bottom"/>
            <w:vMerge w:val="continue"/>
          </w:tcPr>
          <w:p>
            <w:pPr>
              <w:spacing w:after="0"/>
              <w:rPr>
                <w:sz w:val="19"/>
                <w:szCs w:val="19"/>
                <w:color w:val="auto"/>
              </w:rPr>
            </w:pPr>
          </w:p>
        </w:tc>
        <w:tc>
          <w:tcPr>
            <w:tcW w:w="2280" w:type="dxa"/>
            <w:vAlign w:val="bottom"/>
            <w:gridSpan w:val="2"/>
          </w:tcPr>
          <w:p>
            <w:pPr>
              <w:ind w:left="216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110,575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74,574</w:t>
            </w: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$ 252,967</w:t>
            </w:r>
          </w:p>
        </w:tc>
        <w:tc>
          <w:tcPr>
            <w:tcW w:w="2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16,816</w:t>
            </w:r>
          </w:p>
        </w:tc>
        <w:tc>
          <w:tcPr>
            <w:tcW w:w="22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$ 454,932</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160" w:type="dxa"/>
            <w:vAlign w:val="bottom"/>
            <w:vMerge w:val="restart"/>
          </w:tcPr>
          <w:p>
            <w:pPr>
              <w:jc w:val="right"/>
              <w:ind w:right="72"/>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w:t>
      </w:r>
    </w:p>
    <w:p>
      <w:pPr>
        <w:spacing w:after="0" w:line="90"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EBITDA is a supplemental, non-GAAP financial measure. EBITDA is defined as earnings before interest expense, income taxes, depreciation and amortization. We have presented EBITDA because it is used by the financial community as a method of measuring our performance and of evaluating the market value of companies considered to be in similar businesses. We believe that the line item on our Consolidated Statements of Income entitled "Net income" is the most directly comparable GAAP measure to EBITDA. Since EBITDA is not a measure of performance calculated in accordance with GAAP, it should not be considered in isolation of, or as a substitute for, net earnings as an indicator of operating performance. EBITDA, as we calculate it, may not be comparable to similarly titled measures employed by other companies. In addition, this measure is not necessarily a measure of our ability to fund our cash needs. As EBITDA excludes certain financial information compared with net income, the most directly comparable GAAP financial measure, users of this financial information should consider the type of events and transactions that are excluded. Our non-GAAP performance measure, EBITDA, has certain material limitations as follows:</w:t>
      </w:r>
    </w:p>
    <w:p>
      <w:pPr>
        <w:spacing w:after="0" w:line="27" w:lineRule="exact"/>
        <w:rPr>
          <w:sz w:val="20"/>
          <w:szCs w:val="20"/>
          <w:color w:val="auto"/>
        </w:rPr>
      </w:pPr>
    </w:p>
    <w:p>
      <w:pPr>
        <w:ind w:left="900" w:right="120" w:hanging="325"/>
        <w:spacing w:after="0" w:line="306"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It does not include interest expense. Because we have borrowed money to finance our operations,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25"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50" w:lineRule="exact"/>
        <w:rPr>
          <w:rFonts w:ascii="Arial" w:cs="Arial" w:eastAsia="Arial" w:hAnsi="Arial"/>
          <w:sz w:val="18"/>
          <w:szCs w:val="18"/>
          <w:color w:val="auto"/>
        </w:rPr>
      </w:pPr>
    </w:p>
    <w:p>
      <w:pPr>
        <w:ind w:left="900" w:right="32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EBITDA to net income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w w:val="89"/>
              </w:rPr>
              <w:t>Three Months Ended</w:t>
            </w:r>
          </w:p>
        </w:tc>
        <w:tc>
          <w:tcPr>
            <w:tcW w:w="5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90"/>
              </w:rPr>
              <w:t>Nine Months Ended</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1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March 31, 2012</w:t>
            </w: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March 31, 2011</w:t>
            </w:r>
          </w:p>
        </w:tc>
        <w:tc>
          <w:tcPr>
            <w:tcW w:w="5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March 31, 2012</w:t>
            </w: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March 31, 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3"/>
          </w:tcPr>
          <w:p>
            <w:pPr>
              <w:ind w:left="420"/>
              <w:spacing w:after="0" w:line="142" w:lineRule="exact"/>
              <w:rPr>
                <w:sz w:val="20"/>
                <w:szCs w:val="20"/>
                <w:color w:val="auto"/>
              </w:rPr>
            </w:pPr>
            <w:r>
              <w:rPr>
                <w:rFonts w:ascii="Arial" w:cs="Arial" w:eastAsia="Arial" w:hAnsi="Arial"/>
                <w:sz w:val="14"/>
                <w:szCs w:val="14"/>
                <w:color w:val="auto"/>
              </w:rPr>
              <w:t>(In thousands)</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6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4,862</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4,923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15,402</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13,299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Interest expense</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227</w:t>
            </w:r>
          </w:p>
        </w:tc>
        <w:tc>
          <w:tcPr>
            <w:tcW w:w="2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617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2,336</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3,018</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8,794</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2,930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2,727</w:t>
            </w:r>
          </w:p>
        </w:tc>
        <w:tc>
          <w:tcPr>
            <w:tcW w:w="2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8,668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46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10,302</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0"/>
              </w:rPr>
              <w:t>10,895</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33,481</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20" w:type="dxa"/>
            <w:vAlign w:val="bottom"/>
            <w:vMerge w:val="restart"/>
          </w:tcPr>
          <w:p>
            <w:pPr>
              <w:jc w:val="right"/>
              <w:ind w:right="132"/>
              <w:spacing w:after="0"/>
              <w:rPr>
                <w:sz w:val="20"/>
                <w:szCs w:val="20"/>
                <w:color w:val="auto"/>
              </w:rPr>
            </w:pPr>
            <w:r>
              <w:rPr>
                <w:rFonts w:ascii="Arial" w:cs="Arial" w:eastAsia="Arial" w:hAnsi="Arial"/>
                <w:sz w:val="18"/>
                <w:szCs w:val="18"/>
                <w:color w:val="auto"/>
              </w:rPr>
              <w:t>-23-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define liquidity as the ongoing ability to pay our liabilities as they become due, fund business operations and meet all monetary contractual obligations. Our primary sources of liquidity for the nine months ended March 31, 2012 was cash generated from operations and cash on hand at the beginning of the year. Cash on hand at March 31, 2012 totaled $43.1 million and availability under the senior revolving credit facility totaled $113.9 million resulting in total liquidity at March 31, 2012 of $157.0 million. We expect to fund our operations for the next twelve months through the use of cash generated from operations, existing cash balances and borrowings under our credit facility.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Factors that routinely impact our short-term liquidity and may impact our long-term liquidity include, but are not limited to:</w:t>
      </w:r>
    </w:p>
    <w:p>
      <w:pPr>
        <w:spacing w:after="0" w:line="9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working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Contract terms that determine the timing of billings to customers and the collection of those billings</w:t>
      </w:r>
    </w:p>
    <w:p>
      <w:pPr>
        <w:spacing w:after="0" w:line="90" w:lineRule="exact"/>
        <w:rPr>
          <w:rFonts w:ascii="Arial" w:cs="Arial" w:eastAsia="Arial" w:hAnsi="Arial"/>
          <w:sz w:val="18"/>
          <w:szCs w:val="18"/>
          <w:color w:val="auto"/>
        </w:rPr>
      </w:pPr>
    </w:p>
    <w:p>
      <w:pPr>
        <w:ind w:left="1480" w:right="320" w:hanging="446"/>
        <w:spacing w:after="0" w:line="268"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Some cost plus and fixed price customer contracts are billed based on milestones which may require us to incur significant expenditures prior to collections from our customers.</w:t>
      </w:r>
    </w:p>
    <w:p>
      <w:pPr>
        <w:spacing w:after="0" w:line="50" w:lineRule="exact"/>
        <w:rPr>
          <w:rFonts w:ascii="Arial" w:cs="Arial" w:eastAsia="Arial" w:hAnsi="Arial"/>
          <w:sz w:val="18"/>
          <w:szCs w:val="18"/>
          <w:color w:val="auto"/>
        </w:rPr>
      </w:pPr>
    </w:p>
    <w:p>
      <w:pPr>
        <w:ind w:left="1480" w:right="160" w:hanging="446"/>
        <w:spacing w:after="0" w:line="268"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significant retentions or security in the form of letters of credit.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Acquisitions of new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Contract disputes or collection issues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Capacity constraints under our senior revolving credit facility and remaining in compliance with all covenants contained in the credit agreement</w:t>
      </w:r>
    </w:p>
    <w:p>
      <w:pPr>
        <w:spacing w:after="0" w:line="1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an effective shelf registration statement on file with the SEC under which we may issue, from time to time, up to $400 million of senior debt securities, subordinated debt securities, common stock, preferred stock and warrants. This shelf gives us additional flexibility, when capital market conditions are favorable, to grow our businesses, finance acquisitions or to optimize our balance sheet in order to improve or maintain our financial flexibility. We may also elect to issue term debt or increase the amount of our revolving credit facility. We will continue to evaluate our working capital requirements and other factors to maintain sufficient liquidity.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in the Nine Months Ended March 31, 2012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Operating Activities</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Operating activities provided $0.5 million of cash in the nine months ended March 31, 2012 due to cash generated from profitable operating results, largely offset by increased business activity resulting in higher working capital balances. The cash effect of significant changes in working capital include the following:</w:t>
      </w:r>
    </w:p>
    <w:p>
      <w:pPr>
        <w:spacing w:after="0" w:line="4" w:lineRule="exact"/>
        <w:rPr>
          <w:sz w:val="20"/>
          <w:szCs w:val="20"/>
          <w:color w:val="auto"/>
        </w:rPr>
      </w:pPr>
    </w:p>
    <w:p>
      <w:pPr>
        <w:jc w:val="both"/>
        <w:ind w:left="900" w:hanging="325"/>
        <w:spacing w:after="0" w:line="335" w:lineRule="auto"/>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net change in the combined balances of costs and estimated earnings in excess of billings on uncompleted contracts and billings on uncompleted contracts in excess of costs and estimated earnings caused an increase in operating assets and liabilities and a decrease to cash of $22.2 million in the first nine months of fiscal 2012. This change was primarily attributable to less favorable billing terms in the Storage Solutions segment.</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6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Accounts receivable increased by $10.3 million. The accounts receivable increase is due to a higher level of business. The rate of cash collections and the overall aging of our accounts receivable remained within historical norms.</w:t>
      </w:r>
    </w:p>
    <w:p>
      <w:pPr>
        <w:spacing w:after="0" w:line="50" w:lineRule="exact"/>
        <w:rPr>
          <w:rFonts w:ascii="Arial" w:cs="Arial" w:eastAsia="Arial" w:hAnsi="Arial"/>
          <w:sz w:val="18"/>
          <w:szCs w:val="18"/>
          <w:color w:val="auto"/>
        </w:rPr>
      </w:pPr>
    </w:p>
    <w:p>
      <w:pPr>
        <w:ind w:left="900" w:right="7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Accounts payable increased by $6.5 million. The increase was primarily due to the increase in business activity and timing of material and subcontract expenditures in the first nine months of fiscal 2012.</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Accrued expenses decreased by $0.5 million. The decrease was primarily due to the payment of fiscal 2011 employee incentives, partially offset by the timing of income tax payments.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Investing Activities</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Investing activities used $9.2 million of cash in the nine months ended March 31, 2012 due to capital expenditures of $9.6 million, partially offset by proceeds from asset dispositions of $0.2 million and an acquisition related adjustment of $0.2 million as discussed in Note 4. Capital expenditures included $5.0 million for the purchase of construction equipment, $2.5 million for transportation equipment, $1.6 million for office equipment and software and $0.5 million for land and buildings.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Financing Activities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Financing activities used $7.6 million of cash in the nine months ended March 31, 2012 primarily due to the purchase of 886,503 shares of common stock under the Company’s stock buyback program in the amount of $8.1 million, and the $0.6 million payment of fees relating to the expansion of our credit facility, offset in part by net borrowings under the credit agreement of $1.8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Revolving Credit Facility</w:t>
      </w:r>
    </w:p>
    <w:p>
      <w:pPr>
        <w:spacing w:after="0" w:line="9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On November 7, 2011, the Company entered into the Third Amended and Restated Credit Agreement (the “Credit Agreement”), by and among the Company, JPMorgan Chase Bank, N.A., as Administrative Agent, Lender and Issuing Bank, and the other Lenders party thereto, which replaces the Second Amended and Restated Credit Agreement dated as of November 30, 2006, as previously amended. The Credit Agreement provides for a five-year senior secured revolving credit facility of $125.0 million, which replaces the $75.0 million senior secured revolving credit facility under the prior credit agreement. The Credit Agreement may be used for working capital, issuance of letters of credit and other lawful corporate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required to maintain a Senior Leverage Ratio, as defined in the agreement, of less than 2.50 to 1.00.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be required to maintain a Fixed Charge Coverage Ratio, as defined in the agreement, greater than or equal to 1.25 to 1.00.</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$15.0 million per 12-month period.</w:t>
      </w:r>
    </w:p>
    <w:p>
      <w:pPr>
        <w:spacing w:after="0" w:line="5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Amounts borrowed under the credit facility bear interest at LIBOR or an Alternate Base Rate, plus in each case, an additional margin based on the Senior Leverage Ratio. The Credit Agreement includes additional margin ranges on Alternate Base Rate loans between 0.75% and 1.5% and between 1.75% and 2.5% on LIBOR-based loans.</w:t>
      </w:r>
    </w:p>
    <w:p>
      <w:pPr>
        <w:spacing w:after="0" w:line="5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Credit Agreement also permits us to borrow in Canadian dollars with a sublimit of U.S. $15.0 million. Amounts borrowed in Canadian dollars will bear interest either at the CDOR Rate, plus an additional margin based on the Senior Leverage Ratio ranging from 1.75% to 2.5%, or at the Canadian Prime Rate, plus an additional margin based on the Senior Leverage Ratio ranging from 2.25% to 3.0%. The CDOR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0.30% and 0.45% based on the Senior Leverage Ratio.</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noted previously, the Credit Agreement includes a Senior Leverage Ratio covenant which provides that Consolidated Funded Indebtedness may not exceed 2.5 times Consolidated EBITDA, as defined in the agreement, over the previous four quarters. For the four quarters ended March 31, 2012, Consolidated EBITDA was $49.0 million. Accordingly, at March 31, 2012, Consolidated Funded Indebtedness in excess of $122.6 million would have violated the Senior Leverage Ratio covenant.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90"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such date. While we currently do not intend to pay cash dividends, any future dividend payments will depend on our financial condition, capital requirements and earnings as well as other relevant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 and Treasury Shares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9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On February 4, 2009, our Board of Directors authorized a stock buyback program that allows the Company to purchase up to 3,000,000 shares of common stock provided that such purchases do not exceed $25.0 million in any calendar year commencing in calendar year 2009 and continuing through calendar year 2012. The Company purchased 886,503 shares under this program during the first nine months of fiscal 2012 at an average price of $9.17. These shares were returned to the Company’s pool of treasury shares. We may purchase up to an additional 2,113,497 shares through the end of calendar year 2012.</w:t>
      </w:r>
    </w:p>
    <w:p>
      <w:pPr>
        <w:spacing w:after="0" w:line="113"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In addition to the stock buyback program, the Company may withhold shares of common stock to satisfy the tax withholding obligations upon vesting of an employee’s deferred shares. Matrix Service withheld 48,810 shares in the nine months ended March 31, 2012 to satisfy these obligations. These shares were returned to the Company’s pool of treasury shares.</w:t>
      </w:r>
    </w:p>
    <w:p>
      <w:pPr>
        <w:spacing w:after="0" w:line="14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 has 2,157,906 treasury shares as of March 31, 2012 and intends to utilize these treasury shares solely in connection with equity awards under the Company’s stock incentive plans.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and nature of future revenues and margins from each of our segments;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expansion and other development trends of the industries we serve;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generate sufficient cash from operations or to raise cash in order to meet our short and long-term capital requirements;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These statements are based on certain assumptions and analyses we made in light of our experience and our perception of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62" w:lineRule="exact"/>
        <w:rPr>
          <w:sz w:val="20"/>
          <w:szCs w:val="20"/>
          <w:color w:val="auto"/>
        </w:rPr>
      </w:pPr>
    </w:p>
    <w:p>
      <w:pPr>
        <w:ind w:left="900" w:right="1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 factors discussed in our Form 10-K for the fiscal year ended June 30, 2011 and listed from time to time in our filings with the Securities and Exchange Commission;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adequacy of our reserves for contingencies;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market or business conditions in general and in the oil, gas and power industries in particular;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laws or regulations;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to or effects on us or our business operations. We assume no obligation to update publicly, except as required by law, any such forward-looking statements, whether as a result of new information, future events or otherwise.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There have been no material changes in market risk faced by us from those reported in our Annual Report on Form 10-K for the fiscal year ended June 30, 2011, filed with the Securities and Exchange Commission. For more information on market risk, see Part II, Item 7A in our fiscal 2011 Annual Report on Form 10-K.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1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March 31, 2012. Based on the foregoing, our Chief Executive Officer and Chief Financial Officer concluded that our disclosure controls and procedures were effective at the reasonable assurance level at March 31, 2012.</w:t>
      </w:r>
    </w:p>
    <w:p>
      <w:pPr>
        <w:spacing w:after="0" w:line="14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There have been no changes in our internal controls over financial reporting that have materially affected, or are reasonably likely to materially affect our internal controls over financial reporting during the quarter ended March 31, 2012.</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or financial condition.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There were no material changes in our Risk Factors from those reported in Item IA of Part I of our Annual Report on Form 10-K for the fiscal year ended June 30,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information with respect to purchases made by the Company of its common stock during the third quarter of fiscal year 2012.</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Total Number</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Maximum</w:t>
            </w:r>
          </w:p>
        </w:tc>
      </w:tr>
      <w:tr>
        <w:trPr>
          <w:trHeight w:val="149"/>
        </w:trPr>
        <w:tc>
          <w:tcPr>
            <w:tcW w:w="5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4"/>
              </w:rPr>
              <w:t>of Shares</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Number of</w:t>
            </w:r>
          </w:p>
        </w:tc>
      </w:tr>
      <w:tr>
        <w:trPr>
          <w:trHeight w:val="149"/>
        </w:trPr>
        <w:tc>
          <w:tcPr>
            <w:tcW w:w="5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Shares That</w:t>
            </w:r>
          </w:p>
        </w:tc>
      </w:tr>
      <w:tr>
        <w:trPr>
          <w:trHeight w:val="149"/>
        </w:trPr>
        <w:tc>
          <w:tcPr>
            <w:tcW w:w="5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May Yet Be</w:t>
            </w:r>
          </w:p>
        </w:tc>
      </w:tr>
      <w:tr>
        <w:trPr>
          <w:trHeight w:val="149"/>
        </w:trPr>
        <w:tc>
          <w:tcPr>
            <w:tcW w:w="50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320" w:type="dxa"/>
            <w:vAlign w:val="bottom"/>
          </w:tcPr>
          <w:p>
            <w:pPr>
              <w:spacing w:after="0"/>
              <w:rPr>
                <w:sz w:val="12"/>
                <w:szCs w:val="12"/>
                <w:color w:val="auto"/>
              </w:rPr>
            </w:pPr>
          </w:p>
        </w:tc>
        <w:tc>
          <w:tcPr>
            <w:tcW w:w="14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Average Price</w:t>
            </w:r>
          </w:p>
        </w:tc>
        <w:tc>
          <w:tcPr>
            <w:tcW w:w="15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Announced</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Purchased</w:t>
            </w:r>
          </w:p>
        </w:tc>
      </w:tr>
      <w:tr>
        <w:trPr>
          <w:trHeight w:val="149"/>
        </w:trPr>
        <w:tc>
          <w:tcPr>
            <w:tcW w:w="50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of Shares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Paid</w:t>
            </w:r>
          </w:p>
        </w:tc>
        <w:tc>
          <w:tcPr>
            <w:tcW w:w="15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Plans or</w:t>
            </w: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Under the Plans</w:t>
            </w:r>
          </w:p>
        </w:tc>
      </w:tr>
      <w:tr>
        <w:trPr>
          <w:trHeight w:val="161"/>
        </w:trPr>
        <w:tc>
          <w:tcPr>
            <w:tcW w:w="50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Purchased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Per Share</w:t>
            </w:r>
          </w:p>
        </w:tc>
        <w:tc>
          <w:tcPr>
            <w:tcW w:w="15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8"/>
              </w:rPr>
              <w:t>Programs</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or Programs</w:t>
            </w:r>
          </w:p>
        </w:tc>
      </w:tr>
      <w:tr>
        <w:trPr>
          <w:trHeight w:val="196"/>
        </w:trPr>
        <w:tc>
          <w:tcPr>
            <w:tcW w:w="5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January 1 to January 31, 2012</w:t>
            </w: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Share Repurchase Program (A)</w:t>
            </w: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2,113,497</w:t>
            </w: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Employee Transactions (B)</w:t>
            </w: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236</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9.89</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color w:val="auto"/>
              </w:rPr>
              <w:t>February 1 to February 29, 2012</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 Repurchase Program (A)</w:t>
            </w: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2,113,497</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Employee Transactions (B)</w:t>
            </w:r>
          </w:p>
        </w:tc>
        <w:tc>
          <w:tcPr>
            <w:tcW w:w="1120" w:type="dxa"/>
            <w:vAlign w:val="bottom"/>
            <w:gridSpan w:val="2"/>
          </w:tcPr>
          <w:p>
            <w:pPr>
              <w:ind w:left="400"/>
              <w:spacing w:after="0"/>
              <w:rPr>
                <w:sz w:val="20"/>
                <w:szCs w:val="20"/>
                <w:color w:val="auto"/>
              </w:rPr>
            </w:pPr>
            <w:r>
              <w:rPr>
                <w:rFonts w:ascii="Arial" w:cs="Arial" w:eastAsia="Arial" w:hAnsi="Arial"/>
                <w:sz w:val="18"/>
                <w:szCs w:val="18"/>
                <w:color w:val="auto"/>
              </w:rPr>
              <w:t>3,431</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13.24</w:t>
            </w: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1 to March 31, 2012</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ind w:left="440"/>
              <w:spacing w:after="0"/>
              <w:rPr>
                <w:sz w:val="20"/>
                <w:szCs w:val="20"/>
                <w:color w:val="auto"/>
              </w:rPr>
            </w:pPr>
            <w:r>
              <w:rPr>
                <w:rFonts w:ascii="Arial" w:cs="Arial" w:eastAsia="Arial" w:hAnsi="Arial"/>
                <w:sz w:val="18"/>
                <w:szCs w:val="18"/>
                <w:color w:val="auto"/>
              </w:rPr>
              <w:t>Share Repurchase Program (A)</w:t>
            </w: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2,113,497</w:t>
            </w: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Employee Transactions (B)</w:t>
            </w: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60" w:right="40" w:hanging="452"/>
        <w:spacing w:after="0" w:line="253"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shares purchased under our stock buyback program that was approved by our Board of Directors on February 4, 2009 that allows the Company to purchase up to 3,000,000 shares of common stock provided that such purchases do not exceed $25.0 million in any calendar year commencing in calendar year 2009 and continuing through calendar year 2012.</w:t>
      </w:r>
    </w:p>
    <w:p>
      <w:pPr>
        <w:ind w:left="460" w:right="420" w:hanging="452"/>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shares withheld to satisfy the employee’s tax withholding obligation that is incurred upon the vesting of deferred shares granted under the Company’s stock incentive plans.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never paid cash dividends on our common stock, and the terms of our Credit Agreement limits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such date. While we currently do not intend to pay cash dividends, any future dividend payments will depend on our financial condition, capital requirements and earnings as well as other factors the Board of Directors may deem relevant.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Defaults Upon Senior Securities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420"/>
          </w:cols>
          <w:pgMar w:left="240" w:top="459" w:right="2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Exhibit 31.1: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31.2: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32.1: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32.2:</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Exhibit 101.INS: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101.SCH:</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101.CAL: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101.DEF:</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101.LAB:</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Exhibit 101.PRE: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302 of Sarbanes-Oxley Act of 2002 – CEO.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302 of Sarbanes-Oxley Act of 2002 – CFO.</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Certification Pursuant to 18 U.S.C. 1350 (section 906 of Sarbanes-Oxley Act of 2002) – CEO.</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Certification Pursuant to 18 U.S.C. 1350 (section 906 of Sarbanes-Oxley Act of 2002) – CFO.</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Schema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Labels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 Document.</w:t>
      </w:r>
    </w:p>
    <w:p>
      <w:pPr>
        <w:spacing w:after="0" w:line="200" w:lineRule="exact"/>
        <w:rPr>
          <w:sz w:val="20"/>
          <w:szCs w:val="20"/>
          <w:color w:val="auto"/>
        </w:rPr>
      </w:pPr>
    </w:p>
    <w:p>
      <w:pPr>
        <w:sectPr>
          <w:pgSz w:w="11900" w:h="16838" w:orient="portrait"/>
          <w:cols w:equalWidth="0" w:num="2">
            <w:col w:w="1280" w:space="680"/>
            <w:col w:w="9460"/>
          </w:cols>
          <w:pgMar w:left="240" w:top="459" w:right="239" w:bottom="1440" w:gutter="0" w:footer="0" w:header="0"/>
          <w:type w:val="continuous"/>
        </w:sectPr>
      </w:pP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b w:val="1"/>
                <w:bCs w:val="1"/>
                <w:color w:val="auto"/>
              </w:rPr>
              <w:t>MATRIX SERVICE COMPANY</w:t>
            </w:r>
          </w:p>
        </w:tc>
      </w:tr>
      <w:tr>
        <w:trPr>
          <w:trHeight w:val="433"/>
        </w:trPr>
        <w:tc>
          <w:tcPr>
            <w:tcW w:w="3440" w:type="dxa"/>
            <w:vAlign w:val="bottom"/>
          </w:tcPr>
          <w:p>
            <w:pPr>
              <w:spacing w:after="0"/>
              <w:rPr>
                <w:sz w:val="20"/>
                <w:szCs w:val="20"/>
                <w:color w:val="auto"/>
              </w:rPr>
            </w:pPr>
            <w:r>
              <w:rPr>
                <w:rFonts w:ascii="Arial" w:cs="Arial" w:eastAsia="Arial" w:hAnsi="Arial"/>
                <w:sz w:val="18"/>
                <w:szCs w:val="18"/>
                <w:color w:val="auto"/>
              </w:rPr>
              <w:t>Date: May 8, 2012</w:t>
            </w:r>
          </w:p>
        </w:tc>
        <w:tc>
          <w:tcPr>
            <w:tcW w:w="264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By: /s/ Kevin S. Cavanah</w:t>
            </w:r>
          </w:p>
        </w:tc>
      </w:tr>
      <w:tr>
        <w:trPr>
          <w:trHeight w:val="202"/>
        </w:trPr>
        <w:tc>
          <w:tcPr>
            <w:tcW w:w="34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w w:val="90"/>
              </w:rPr>
              <w:t>Kevin S. Cavanah, Vice President and Chief Financial Officer signing on</w:t>
            </w:r>
          </w:p>
        </w:tc>
      </w:tr>
      <w:tr>
        <w:trPr>
          <w:trHeight w:val="222"/>
        </w:trPr>
        <w:tc>
          <w:tcPr>
            <w:tcW w:w="34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w w:val="93"/>
              </w:rPr>
              <w:t>behalf of the registrant and as the registrant’s principal financial officer</w:t>
            </w:r>
          </w:p>
        </w:tc>
      </w:tr>
      <w:tr>
        <w:trPr>
          <w:trHeight w:val="365"/>
        </w:trPr>
        <w:tc>
          <w:tcPr>
            <w:tcW w:w="3440" w:type="dxa"/>
            <w:vAlign w:val="bottom"/>
          </w:tcPr>
          <w:p>
            <w:pPr>
              <w:spacing w:after="0"/>
              <w:rPr>
                <w:sz w:val="24"/>
                <w:szCs w:val="24"/>
                <w:color w:val="auto"/>
              </w:rPr>
            </w:pPr>
          </w:p>
        </w:tc>
        <w:tc>
          <w:tcPr>
            <w:tcW w:w="2640" w:type="dxa"/>
            <w:vAlign w:val="bottom"/>
          </w:tcPr>
          <w:p>
            <w:pPr>
              <w:jc w:val="right"/>
              <w:ind w:right="132"/>
              <w:spacing w:after="0"/>
              <w:rPr>
                <w:sz w:val="20"/>
                <w:szCs w:val="20"/>
                <w:color w:val="auto"/>
              </w:rPr>
            </w:pPr>
            <w:r>
              <w:rPr>
                <w:rFonts w:ascii="Arial" w:cs="Arial" w:eastAsia="Arial" w:hAnsi="Arial"/>
                <w:sz w:val="18"/>
                <w:szCs w:val="18"/>
                <w:color w:val="auto"/>
              </w:rPr>
              <w:t>-30-</w:t>
            </w:r>
          </w:p>
        </w:tc>
        <w:tc>
          <w:tcPr>
            <w:tcW w:w="53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INDEX</w:t>
            </w:r>
          </w:p>
        </w:tc>
        <w:tc>
          <w:tcPr>
            <w:tcW w:w="2180" w:type="dxa"/>
            <w:vAlign w:val="bottom"/>
          </w:tcPr>
          <w:p>
            <w:pPr>
              <w:spacing w:after="0"/>
              <w:rPr>
                <w:sz w:val="17"/>
                <w:szCs w:val="17"/>
                <w:color w:val="auto"/>
              </w:rPr>
            </w:pPr>
          </w:p>
        </w:tc>
      </w:tr>
      <w:tr>
        <w:trPr>
          <w:trHeight w:val="437"/>
        </w:trPr>
        <w:tc>
          <w:tcPr>
            <w:tcW w:w="1640" w:type="dxa"/>
            <w:vAlign w:val="bottom"/>
          </w:tcPr>
          <w:p>
            <w:pPr>
              <w:spacing w:after="0"/>
              <w:rPr>
                <w:sz w:val="20"/>
                <w:szCs w:val="20"/>
                <w:color w:val="auto"/>
              </w:rPr>
            </w:pPr>
            <w:r>
              <w:rPr>
                <w:rFonts w:ascii="Arial" w:cs="Arial" w:eastAsia="Arial" w:hAnsi="Arial"/>
                <w:sz w:val="18"/>
                <w:szCs w:val="18"/>
                <w:color w:val="auto"/>
              </w:rPr>
              <w:t>Exhibit 31.1:</w:t>
            </w:r>
          </w:p>
        </w:tc>
        <w:tc>
          <w:tcPr>
            <w:tcW w:w="694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Section 302 of Sarbanes-Oxley Act of 2002 – CEO.</w:t>
            </w:r>
          </w:p>
        </w:tc>
      </w:tr>
      <w:tr>
        <w:trPr>
          <w:trHeight w:val="324"/>
        </w:trPr>
        <w:tc>
          <w:tcPr>
            <w:tcW w:w="1640" w:type="dxa"/>
            <w:vAlign w:val="bottom"/>
          </w:tcPr>
          <w:p>
            <w:pPr>
              <w:spacing w:after="0"/>
              <w:rPr>
                <w:sz w:val="20"/>
                <w:szCs w:val="20"/>
                <w:color w:val="auto"/>
              </w:rPr>
            </w:pPr>
            <w:r>
              <w:rPr>
                <w:rFonts w:ascii="Arial" w:cs="Arial" w:eastAsia="Arial" w:hAnsi="Arial"/>
                <w:sz w:val="18"/>
                <w:szCs w:val="18"/>
                <w:color w:val="auto"/>
              </w:rPr>
              <w:t>Exhibit 31.2:</w:t>
            </w:r>
          </w:p>
        </w:tc>
        <w:tc>
          <w:tcPr>
            <w:tcW w:w="694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Section 302 of Sarbanes-Oxley Act of 2002 – CFO.</w:t>
            </w:r>
          </w:p>
        </w:tc>
      </w:tr>
      <w:tr>
        <w:trPr>
          <w:trHeight w:val="324"/>
        </w:trPr>
        <w:tc>
          <w:tcPr>
            <w:tcW w:w="1640" w:type="dxa"/>
            <w:vAlign w:val="bottom"/>
          </w:tcPr>
          <w:p>
            <w:pPr>
              <w:spacing w:after="0"/>
              <w:rPr>
                <w:sz w:val="20"/>
                <w:szCs w:val="20"/>
                <w:color w:val="auto"/>
              </w:rPr>
            </w:pPr>
            <w:r>
              <w:rPr>
                <w:rFonts w:ascii="Arial" w:cs="Arial" w:eastAsia="Arial" w:hAnsi="Arial"/>
                <w:sz w:val="18"/>
                <w:szCs w:val="18"/>
                <w:color w:val="auto"/>
              </w:rPr>
              <w:t>Exhibit 32.1:</w:t>
            </w:r>
          </w:p>
        </w:tc>
        <w:tc>
          <w:tcPr>
            <w:tcW w:w="6940" w:type="dxa"/>
            <w:vAlign w:val="bottom"/>
            <w:gridSpan w:val="3"/>
          </w:tcPr>
          <w:p>
            <w:pPr>
              <w:ind w:left="320"/>
              <w:spacing w:after="0"/>
              <w:rPr>
                <w:sz w:val="20"/>
                <w:szCs w:val="20"/>
                <w:color w:val="auto"/>
              </w:rPr>
            </w:pPr>
            <w:r>
              <w:rPr>
                <w:rFonts w:ascii="Arial" w:cs="Arial" w:eastAsia="Arial" w:hAnsi="Arial"/>
                <w:sz w:val="18"/>
                <w:szCs w:val="18"/>
                <w:color w:val="auto"/>
                <w:w w:val="88"/>
              </w:rPr>
              <w:t>Certification Pursuant to 18 U.S.C. 1350 (section 906 of Sarbanes-Oxley Act of 2002) – CEO.</w:t>
            </w:r>
          </w:p>
        </w:tc>
      </w:tr>
      <w:tr>
        <w:trPr>
          <w:trHeight w:val="324"/>
        </w:trPr>
        <w:tc>
          <w:tcPr>
            <w:tcW w:w="1640" w:type="dxa"/>
            <w:vAlign w:val="bottom"/>
          </w:tcPr>
          <w:p>
            <w:pPr>
              <w:spacing w:after="0"/>
              <w:rPr>
                <w:sz w:val="20"/>
                <w:szCs w:val="20"/>
                <w:color w:val="auto"/>
              </w:rPr>
            </w:pPr>
            <w:r>
              <w:rPr>
                <w:rFonts w:ascii="Arial" w:cs="Arial" w:eastAsia="Arial" w:hAnsi="Arial"/>
                <w:sz w:val="18"/>
                <w:szCs w:val="18"/>
                <w:color w:val="auto"/>
              </w:rPr>
              <w:t>Exhibit 32.2:</w:t>
            </w:r>
          </w:p>
        </w:tc>
        <w:tc>
          <w:tcPr>
            <w:tcW w:w="6940" w:type="dxa"/>
            <w:vAlign w:val="bottom"/>
            <w:gridSpan w:val="3"/>
          </w:tcPr>
          <w:p>
            <w:pPr>
              <w:ind w:left="320"/>
              <w:spacing w:after="0"/>
              <w:rPr>
                <w:sz w:val="20"/>
                <w:szCs w:val="20"/>
                <w:color w:val="auto"/>
              </w:rPr>
            </w:pPr>
            <w:r>
              <w:rPr>
                <w:rFonts w:ascii="Arial" w:cs="Arial" w:eastAsia="Arial" w:hAnsi="Arial"/>
                <w:sz w:val="18"/>
                <w:szCs w:val="18"/>
                <w:color w:val="auto"/>
                <w:w w:val="88"/>
              </w:rPr>
              <w:t>Certification Pursuant to 18 U.S.C. 1350 (section 906 of Sarbanes-Oxley Act of 2002) – CFO.</w:t>
            </w:r>
          </w:p>
        </w:tc>
      </w:tr>
      <w:tr>
        <w:trPr>
          <w:trHeight w:val="324"/>
        </w:trPr>
        <w:tc>
          <w:tcPr>
            <w:tcW w:w="1640" w:type="dxa"/>
            <w:vAlign w:val="bottom"/>
          </w:tcPr>
          <w:p>
            <w:pPr>
              <w:spacing w:after="0"/>
              <w:rPr>
                <w:sz w:val="20"/>
                <w:szCs w:val="20"/>
                <w:color w:val="auto"/>
              </w:rPr>
            </w:pPr>
            <w:r>
              <w:rPr>
                <w:rFonts w:ascii="Arial" w:cs="Arial" w:eastAsia="Arial" w:hAnsi="Arial"/>
                <w:sz w:val="18"/>
                <w:szCs w:val="18"/>
                <w:color w:val="auto"/>
              </w:rPr>
              <w:t>Exhibit 101.INS:</w:t>
            </w:r>
          </w:p>
        </w:tc>
        <w:tc>
          <w:tcPr>
            <w:tcW w:w="6940" w:type="dxa"/>
            <w:vAlign w:val="bottom"/>
            <w:gridSpan w:val="3"/>
          </w:tcPr>
          <w:p>
            <w:pPr>
              <w:ind w:left="320"/>
              <w:spacing w:after="0"/>
              <w:rPr>
                <w:sz w:val="20"/>
                <w:szCs w:val="20"/>
                <w:color w:val="auto"/>
              </w:rPr>
            </w:pPr>
            <w:r>
              <w:rPr>
                <w:rFonts w:ascii="Arial" w:cs="Arial" w:eastAsia="Arial" w:hAnsi="Arial"/>
                <w:sz w:val="18"/>
                <w:szCs w:val="18"/>
                <w:color w:val="auto"/>
              </w:rPr>
              <w:t>XBRL Instance Document.</w:t>
            </w:r>
          </w:p>
        </w:tc>
      </w:tr>
      <w:tr>
        <w:trPr>
          <w:trHeight w:val="324"/>
        </w:trPr>
        <w:tc>
          <w:tcPr>
            <w:tcW w:w="1640" w:type="dxa"/>
            <w:vAlign w:val="bottom"/>
          </w:tcPr>
          <w:p>
            <w:pPr>
              <w:spacing w:after="0"/>
              <w:rPr>
                <w:sz w:val="20"/>
                <w:szCs w:val="20"/>
                <w:color w:val="auto"/>
              </w:rPr>
            </w:pPr>
            <w:r>
              <w:rPr>
                <w:rFonts w:ascii="Arial" w:cs="Arial" w:eastAsia="Arial" w:hAnsi="Arial"/>
                <w:sz w:val="18"/>
                <w:szCs w:val="18"/>
                <w:color w:val="auto"/>
              </w:rPr>
              <w:t>Exhibit 101.SCH:</w:t>
            </w:r>
          </w:p>
        </w:tc>
        <w:tc>
          <w:tcPr>
            <w:tcW w:w="6940" w:type="dxa"/>
            <w:vAlign w:val="bottom"/>
            <w:gridSpan w:val="3"/>
          </w:tcPr>
          <w:p>
            <w:pPr>
              <w:ind w:left="320"/>
              <w:spacing w:after="0"/>
              <w:rPr>
                <w:sz w:val="20"/>
                <w:szCs w:val="20"/>
                <w:color w:val="auto"/>
              </w:rPr>
            </w:pPr>
            <w:r>
              <w:rPr>
                <w:rFonts w:ascii="Arial" w:cs="Arial" w:eastAsia="Arial" w:hAnsi="Arial"/>
                <w:sz w:val="18"/>
                <w:szCs w:val="18"/>
                <w:color w:val="auto"/>
              </w:rPr>
              <w:t>XBRL Taxonomy Schema Document.</w:t>
            </w:r>
          </w:p>
        </w:tc>
      </w:tr>
      <w:tr>
        <w:trPr>
          <w:trHeight w:val="324"/>
        </w:trPr>
        <w:tc>
          <w:tcPr>
            <w:tcW w:w="1640" w:type="dxa"/>
            <w:vAlign w:val="bottom"/>
          </w:tcPr>
          <w:p>
            <w:pPr>
              <w:spacing w:after="0"/>
              <w:rPr>
                <w:sz w:val="20"/>
                <w:szCs w:val="20"/>
                <w:color w:val="auto"/>
              </w:rPr>
            </w:pPr>
            <w:r>
              <w:rPr>
                <w:rFonts w:ascii="Arial" w:cs="Arial" w:eastAsia="Arial" w:hAnsi="Arial"/>
                <w:sz w:val="18"/>
                <w:szCs w:val="18"/>
                <w:color w:val="auto"/>
              </w:rPr>
              <w:t>Exhibit 101.CAL:</w:t>
            </w:r>
          </w:p>
        </w:tc>
        <w:tc>
          <w:tcPr>
            <w:tcW w:w="694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640" w:type="dxa"/>
            <w:vAlign w:val="bottom"/>
          </w:tcPr>
          <w:p>
            <w:pPr>
              <w:spacing w:after="0"/>
              <w:rPr>
                <w:sz w:val="20"/>
                <w:szCs w:val="20"/>
                <w:color w:val="auto"/>
              </w:rPr>
            </w:pPr>
            <w:r>
              <w:rPr>
                <w:rFonts w:ascii="Arial" w:cs="Arial" w:eastAsia="Arial" w:hAnsi="Arial"/>
                <w:sz w:val="18"/>
                <w:szCs w:val="18"/>
                <w:color w:val="auto"/>
              </w:rPr>
              <w:t>Exhibit 101.DEF:</w:t>
            </w:r>
          </w:p>
        </w:tc>
        <w:tc>
          <w:tcPr>
            <w:tcW w:w="694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640" w:type="dxa"/>
            <w:vAlign w:val="bottom"/>
          </w:tcPr>
          <w:p>
            <w:pPr>
              <w:spacing w:after="0"/>
              <w:rPr>
                <w:sz w:val="20"/>
                <w:szCs w:val="20"/>
                <w:color w:val="auto"/>
              </w:rPr>
            </w:pPr>
            <w:r>
              <w:rPr>
                <w:rFonts w:ascii="Arial" w:cs="Arial" w:eastAsia="Arial" w:hAnsi="Arial"/>
                <w:sz w:val="18"/>
                <w:szCs w:val="18"/>
                <w:color w:val="auto"/>
              </w:rPr>
              <w:t>Exhibit 101.LAB :</w:t>
            </w:r>
          </w:p>
        </w:tc>
        <w:tc>
          <w:tcPr>
            <w:tcW w:w="694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1640" w:type="dxa"/>
            <w:vAlign w:val="bottom"/>
          </w:tcPr>
          <w:p>
            <w:pPr>
              <w:spacing w:after="0"/>
              <w:rPr>
                <w:sz w:val="20"/>
                <w:szCs w:val="20"/>
                <w:color w:val="auto"/>
              </w:rPr>
            </w:pPr>
            <w:r>
              <w:rPr>
                <w:rFonts w:ascii="Arial" w:cs="Arial" w:eastAsia="Arial" w:hAnsi="Arial"/>
                <w:sz w:val="18"/>
                <w:szCs w:val="18"/>
                <w:color w:val="auto"/>
              </w:rPr>
              <w:t>Exhibit 101.PRE:</w:t>
            </w:r>
          </w:p>
        </w:tc>
        <w:tc>
          <w:tcPr>
            <w:tcW w:w="694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1640" w:type="dxa"/>
            <w:vAlign w:val="bottom"/>
          </w:tcPr>
          <w:p>
            <w:pPr>
              <w:spacing w:after="0"/>
              <w:rPr>
                <w:sz w:val="24"/>
                <w:szCs w:val="24"/>
                <w:color w:val="auto"/>
              </w:rPr>
            </w:pPr>
          </w:p>
        </w:tc>
        <w:tc>
          <w:tcPr>
            <w:tcW w:w="4760" w:type="dxa"/>
            <w:vAlign w:val="bottom"/>
            <w:gridSpan w:val="2"/>
          </w:tcPr>
          <w:p>
            <w:pPr>
              <w:ind w:left="3920"/>
              <w:spacing w:after="0"/>
              <w:rPr>
                <w:sz w:val="20"/>
                <w:szCs w:val="20"/>
                <w:color w:val="auto"/>
              </w:rPr>
            </w:pPr>
            <w:r>
              <w:rPr>
                <w:rFonts w:ascii="Arial" w:cs="Arial" w:eastAsia="Arial" w:hAnsi="Arial"/>
                <w:sz w:val="18"/>
                <w:szCs w:val="18"/>
                <w:color w:val="auto"/>
              </w:rPr>
              <w:t>-31-</w:t>
            </w:r>
          </w:p>
        </w:tc>
        <w:tc>
          <w:tcPr>
            <w:tcW w:w="218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212"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6"/>
          <w:szCs w:val="16"/>
          <w:color w:val="auto"/>
        </w:rPr>
      </w:pPr>
    </w:p>
    <w:p>
      <w:pPr>
        <w:ind w:left="900" w:right="20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May 8,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John R. Hewitt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John R. Hewitt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212"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320" w:hanging="446"/>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1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6"/>
          <w:szCs w:val="16"/>
          <w:color w:val="auto"/>
        </w:rPr>
      </w:pPr>
    </w:p>
    <w:p>
      <w:pPr>
        <w:ind w:left="900" w:right="200" w:hanging="446"/>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Date: May 8,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S. Cavanah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Kevin S. Cavanah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65"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In connection with the Quarterly Report of Matrix Service Company (the “Company”) on Form 10-Q for the period ending March 31, 2012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26"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May 8,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John R. Hewitt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John R. Hewitt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65"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In connection with the Quarterly Report of Matrix Service Company (the “Company”) on Form 10-Q for the period ending March 31, 2012 as filed with the Securities and Exchange Commission on the date hereof (the “Report”), I, Kevin S. Cavanah, Vice President, Finance and Chief Financial Officer of the Company, certify, pursuant to 18 U.S.C. ss. 1350, as adopted pursuant to ss. 906 of the Sarbanes-Oxley Act of 2002, that based on my knowledge:</w:t>
      </w:r>
    </w:p>
    <w:p>
      <w:pPr>
        <w:spacing w:after="0" w:line="26"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May 8,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S. Cavanah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Kevin S. Cavanah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lvl w:ilvl="1">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upp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2019-12-09T09:55:06Z</dcterms:created>
  <dcterms:modified xsi:type="dcterms:W3CDTF">2019-12-09T09:55:06Z</dcterms:modified>
</cp:coreProperties>
</file>